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Indrokusumo v. The Eleven Ten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Client owns the real property located at 110 N. Hacienda Place, West Hollywood, CA 90069 (the "Property"), a condominium that is situated within The Eleven Ten Owners Association. Her dispute concerns the HOA’s ongoing failure to remediate the Property following damage from a roof leak, lack of transparency with financial issues, violations of the Open Meeting, and several other violations. Client also previously served the former management company with a request for documents under Civil Code section 5200 and the HOA failed to respond to produce any documents, making her believe that it is withholding pertinent financial information from HOA members.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Fannic Indrokusumo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The Eleven Ten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 section 8</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w:t>
      </w:r>
      <w:proofErr w:type="spellStart"/>
      <w:r>
        <w:rPr>
          <w:rFonts w:cs="Times New Roman"/>
          <w:bCs/>
          <w:szCs w:val="24"/>
        </w:rPr>
        <w:t>affect</w:t>
      </w:r>
      <w:proofErr w:type="spellEnd"/>
      <w:r>
        <w:rPr>
          <w:rFonts w:cs="Times New Roman"/>
          <w:bCs/>
          <w:szCs w:val="24"/>
        </w:rPr>
        <w:t xml:space="preserve">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XVI, section 9</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Indrokusumo v. The Eleven Ten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