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He v. Sea Ridge at Pacific Palisades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
          Client owns the real property located at 622 Palisades Dr., Pacific Palisades, CA 90272 (the “Property”), situated within the Sea Ridge at Pacific Palisades Association’s (the “HOA”). When she purchased the Property, the realtor, who represented both the buyer and seller, informed her that she could erect a fence at the property. Based on the realtor’s representation, Client purchased the Property and construct a fence to protect her pet. In December 2023, the HOA issued a notice of noncompliance to Client, requesting her remove the fence which she did not obtain approval from the HOA’s Architectural Committee (the "ARC") before the construction. The notice further said that Client’s neighbors at 620 Palisades complained that the fence blocked their viewshed, which Client denied. Further, Client’s neighbors at 624 Palisades have a same fence as Client does. The HOA’s counsel served an ADR demand to Client on April 11, 2024.
          <w:br/>
          <w:br/>
          Client has the potential viable defenses:
          <w:br/>
          (i) Laches;
          <w:br/>
          (ii) Estoppel;
          <w:br/>
          (iii) Necessity;
          <w:br/>
          (iv) Unclean Hands;
          <w:br/>
          (v) Comparative Fault; and
          <w:br/>
          (vi) Selective Enforcement.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Monica He</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Sea Ridge at Pacific Palisades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The 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The Application submitted on January 8, 2024.</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He v. Sea Ridge at Pacific Palisades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