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3439BB" w:rsidP="005C2B5C">
      <w:pPr>
        <w:spacing w:after="264"/>
        <w:jc w:val="center"/>
        <w:rPr>
          <w:rFonts w:cs="Times New Roman"/>
          <w:b/>
          <w:bCs/>
          <w:sz w:val="44"/>
          <w:szCs w:val="44"/>
        </w:rPr>
      </w:pPr>
      <w:r>
        <w:rPr>
          <w:rFonts w:cs="Times New Roman"/>
          <w:b/>
          <w:bCs/>
          <w:sz w:val="44"/>
          <w:szCs w:val="44"/>
        </w:rPr>
        <w:t>Hendsch adv. Seacliff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3439BB" w:rsidP="00E31A1C">
      <w:pPr>
        <w:spacing w:afterLines="0" w:after="0"/>
        <w:jc w:val="center"/>
        <w:rPr>
          <w:rFonts w:cs="Times New Roman"/>
          <w:sz w:val="28"/>
          <w:szCs w:val="28"/>
        </w:rPr>
      </w:pPr>
      <w:r>
        <w:rPr>
          <w:rFonts w:cs="Times New Roman"/>
          <w:sz w:val="28"/>
          <w:szCs w:val="28"/>
        </w:rPr>
        <w:t>SE/JH</w:t>
      </w:r>
    </w:p>
    <w:p w14:paraId="1B4DFB73" w14:textId="78AE2854"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2A2B3C">
        <w:rPr>
          <w:rFonts w:cs="Times New Roman"/>
          <w:noProof/>
          <w:szCs w:val="24"/>
        </w:rPr>
        <w:t>October 19,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3439BB" w:rsidP="00ED2D7D">
      <w:pPr>
        <w:spacing w:after="264"/>
        <w:rPr>
          <w:rFonts w:cs="Times New Roman"/>
          <w:szCs w:val="24"/>
        </w:rPr>
      </w:pPr>
      <w:r>
        <w:rPr>
          <w:rFonts w:cs="Times New Roman"/>
          <w:szCs w:val="24"/>
        </w:rPr>
        <w:t>*****</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3439BB" w:rsidP="0054507B">
            <w:pPr>
              <w:spacing w:afterLines="0" w:after="0"/>
              <w:rPr>
                <w:rFonts w:cs="Times New Roman"/>
                <w:sz w:val="20"/>
                <w:szCs w:val="20"/>
              </w:rPr>
            </w:pPr>
            <w:r>
              <w:rPr>
                <w:rFonts w:cs="Times New Roman"/>
                <w:sz w:val="20"/>
                <w:szCs w:val="20"/>
              </w:rPr>
              <w:t>Charles Hendsch</w:t>
            </w:r>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3439BB" w:rsidP="0054507B">
            <w:pPr>
              <w:spacing w:afterLines="0" w:after="0"/>
              <w:rPr>
                <w:rFonts w:cs="Times New Roman"/>
                <w:sz w:val="20"/>
                <w:szCs w:val="20"/>
              </w:rPr>
            </w:pPr>
            <w:r>
              <w:rPr>
                <w:rFonts w:cs="Times New Roman"/>
                <w:sz w:val="20"/>
                <w:szCs w:val="20"/>
              </w:rPr>
              <w:t>The Club Series of Seacliff Homeowners Association ("HOA")</w:t>
            </w:r>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3439BB" w:rsidP="0054507B">
            <w:pPr>
              <w:spacing w:afterLines="0" w:after="0"/>
              <w:rPr>
                <w:rFonts w:cs="Times New Roman"/>
                <w:sz w:val="20"/>
                <w:szCs w:val="20"/>
              </w:rPr>
            </w:pPr>
            <w:r>
              <w:rPr>
                <w:rFonts w:cs="Times New Roman"/>
                <w:sz w:val="20"/>
                <w:szCs w:val="20"/>
              </w:rPr>
              <w:t>HOA</w:t>
            </w:r>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r>
        <w:rPr>
          <w:rFonts w:cs="Times New Roman"/>
          <w:szCs w:val="24"/>
        </w:rPr>
        <w:t>Ask Client to provide a copy of the 2024 letter from the HOA permitting fireworks.</w:t>
      </w:r>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3439BB"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1B67BA" w:rsidRPr="00CC0856">
        <w:rPr>
          <w:rStyle w:val="Heading1Char"/>
        </w:rPr>
        <w:t>Potential Cross-Claims and the Strengths/Weaknesses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t>—  The “enforcement” issues discussed in the context of the “Breach of CC&amp;Rs” cause of action above is also applicable to a declaratory relief claim.</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1791842D" w14:textId="2B750489" w:rsidR="00A66858"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66858" w:rsidRPr="00A66858">
        <w:t>Potential Affirmative Defenses</w:t>
      </w:r>
    </w:p>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74B3896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Equitable Estoppel</w:t>
      </w:r>
    </w:p>
    <w:p w14:paraId="6D510513"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sidR="00207181">
        <w:rPr>
          <w:rFonts w:cs="Times New Roman"/>
          <w:bCs/>
          <w:szCs w:val="24"/>
        </w:rPr>
        <w:t xml:space="preserve">or her </w:t>
      </w:r>
      <w:r w:rsidR="00207181" w:rsidRPr="00207181">
        <w:rPr>
          <w:rFonts w:cs="Times New Roman"/>
          <w:bCs/>
          <w:szCs w:val="24"/>
        </w:rPr>
        <w:t>prior statement or conduct. (</w:t>
      </w:r>
      <w:r w:rsidR="00207181" w:rsidRPr="00207181">
        <w:rPr>
          <w:rFonts w:cs="Times New Roman"/>
          <w:bCs/>
          <w:i/>
          <w:iCs/>
          <w:szCs w:val="24"/>
        </w:rPr>
        <w:t>Moncada v. West Coast Quartz Corp.</w:t>
      </w:r>
      <w:r w:rsidR="00207181" w:rsidRPr="00207181">
        <w:rPr>
          <w:rFonts w:cs="Times New Roman"/>
          <w:bCs/>
          <w:szCs w:val="24"/>
        </w:rPr>
        <w:t xml:space="preserve"> (2013) 221 Cal.App.4th 768, 782.)</w:t>
      </w:r>
    </w:p>
    <w:p w14:paraId="29D5457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Unclean Hands</w:t>
      </w:r>
    </w:p>
    <w:p w14:paraId="34A560C9"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the plaintiff’s </w:t>
      </w:r>
      <w:r w:rsidR="00207181">
        <w:rPr>
          <w:rFonts w:cs="Times New Roman"/>
          <w:bCs/>
          <w:szCs w:val="24"/>
        </w:rPr>
        <w:t xml:space="preserve">bad </w:t>
      </w:r>
      <w:r w:rsidR="00207181" w:rsidRPr="00207181">
        <w:rPr>
          <w:rFonts w:cs="Times New Roman"/>
          <w:bCs/>
          <w:szCs w:val="24"/>
        </w:rPr>
        <w:t>conduct or bad faith causes</w:t>
      </w:r>
      <w:r w:rsidR="00207181">
        <w:rPr>
          <w:rFonts w:cs="Times New Roman"/>
          <w:bCs/>
          <w:szCs w:val="24"/>
        </w:rPr>
        <w:t>/is related to</w:t>
      </w:r>
      <w:r w:rsidR="00207181" w:rsidRPr="00207181">
        <w:rPr>
          <w:rFonts w:cs="Times New Roman"/>
          <w:bCs/>
          <w:szCs w:val="24"/>
        </w:rPr>
        <w:t xml:space="preserve"> </w:t>
      </w:r>
      <w:r w:rsidR="00207181">
        <w:rPr>
          <w:rFonts w:cs="Times New Roman"/>
          <w:bCs/>
          <w:szCs w:val="24"/>
        </w:rPr>
        <w:t>his or her own</w:t>
      </w:r>
      <w:r w:rsidR="00207181" w:rsidRPr="00207181">
        <w:rPr>
          <w:rFonts w:cs="Times New Roman"/>
          <w:bCs/>
          <w:szCs w:val="24"/>
        </w:rPr>
        <w:t xml:space="preserve"> underlying harm</w:t>
      </w:r>
      <w:r w:rsidR="00207181">
        <w:rPr>
          <w:rFonts w:cs="Times New Roman"/>
          <w:bCs/>
          <w:szCs w:val="24"/>
        </w:rPr>
        <w:t>, then that</w:t>
      </w:r>
      <w:r w:rsidR="00207181" w:rsidRPr="00207181">
        <w:rPr>
          <w:rFonts w:cs="Times New Roman"/>
          <w:bCs/>
          <w:szCs w:val="24"/>
        </w:rPr>
        <w:t xml:space="preserve"> plaintiff is barred from obtaining equitable relief</w:t>
      </w:r>
      <w:r w:rsidR="00207181">
        <w:rPr>
          <w:rFonts w:cs="Times New Roman"/>
          <w:bCs/>
          <w:szCs w:val="24"/>
        </w:rPr>
        <w:t>—</w:t>
      </w:r>
      <w:r w:rsidR="00207181" w:rsidRPr="00207181">
        <w:rPr>
          <w:rFonts w:cs="Times New Roman"/>
          <w:bCs/>
          <w:szCs w:val="24"/>
        </w:rPr>
        <w:t>i.e., a plaintiff cannot take advantage of his or her own wrong. (Civ. Code</w:t>
      </w:r>
      <w:r w:rsidR="006969D7">
        <w:rPr>
          <w:rFonts w:cs="Times New Roman"/>
          <w:bCs/>
          <w:szCs w:val="24"/>
        </w:rPr>
        <w:t>,</w:t>
      </w:r>
      <w:r w:rsidR="00207181" w:rsidRPr="00207181">
        <w:rPr>
          <w:rFonts w:cs="Times New Roman"/>
          <w:bCs/>
          <w:szCs w:val="24"/>
        </w:rPr>
        <w:t xml:space="preserve"> § 3517; </w:t>
      </w:r>
      <w:r w:rsidR="00207181" w:rsidRPr="00207181">
        <w:rPr>
          <w:rFonts w:cs="Times New Roman"/>
          <w:bCs/>
          <w:i/>
          <w:iCs/>
          <w:szCs w:val="24"/>
        </w:rPr>
        <w:t xml:space="preserve">Lynn v. </w:t>
      </w:r>
      <w:proofErr w:type="spellStart"/>
      <w:r w:rsidR="00207181" w:rsidRPr="00207181">
        <w:rPr>
          <w:rFonts w:cs="Times New Roman"/>
          <w:bCs/>
          <w:i/>
          <w:iCs/>
          <w:szCs w:val="24"/>
        </w:rPr>
        <w:t>Duckel</w:t>
      </w:r>
      <w:proofErr w:type="spellEnd"/>
      <w:r w:rsidR="00207181" w:rsidRPr="00207181">
        <w:rPr>
          <w:rFonts w:cs="Times New Roman"/>
          <w:bCs/>
          <w:szCs w:val="24"/>
        </w:rPr>
        <w:t xml:space="preserve"> (1956) 46 </w:t>
      </w:r>
      <w:proofErr w:type="spellStart"/>
      <w:r w:rsidR="00207181" w:rsidRPr="00207181">
        <w:rPr>
          <w:rFonts w:cs="Times New Roman"/>
          <w:bCs/>
          <w:szCs w:val="24"/>
        </w:rPr>
        <w:t>Cal.2d</w:t>
      </w:r>
      <w:proofErr w:type="spellEnd"/>
      <w:r w:rsidR="00207181" w:rsidRPr="00207181">
        <w:rPr>
          <w:rFonts w:cs="Times New Roman"/>
          <w:bCs/>
          <w:szCs w:val="24"/>
        </w:rPr>
        <w:t xml:space="preserve"> 845, 850.)</w:t>
      </w:r>
    </w:p>
    <w:p w14:paraId="5AA3890B"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3928F9">
        <w:t>Negligence (Comp</w:t>
      </w:r>
      <w:r w:rsidR="007D0801">
        <w:t>arative</w:t>
      </w:r>
      <w:r w:rsidR="003928F9">
        <w:t xml:space="preserve"> Fault)</w:t>
      </w:r>
    </w:p>
    <w:p w14:paraId="33CDF7CE" w14:textId="77777777" w:rsidR="003F0E15" w:rsidRDefault="00BE74E8" w:rsidP="00BE74E8">
      <w:pPr>
        <w:spacing w:after="264"/>
        <w:ind w:left="1080" w:hanging="360"/>
        <w:rPr>
          <w:rFonts w:cs="Times New Roman"/>
          <w:bCs/>
          <w:szCs w:val="24"/>
        </w:rPr>
      </w:pPr>
      <w:r>
        <w:rPr>
          <w:rFonts w:cs="Times New Roman"/>
          <w:bCs/>
          <w:szCs w:val="24"/>
        </w:rPr>
        <w:t xml:space="preserve">—  </w:t>
      </w:r>
      <w:r w:rsidR="007D0801" w:rsidRPr="007D0801">
        <w:rPr>
          <w:rFonts w:cs="Times New Roman"/>
          <w:bCs/>
          <w:szCs w:val="24"/>
        </w:rPr>
        <w:t>The plaintiff’s own negligence may be used to proportionally reduce the defendant’s fault</w:t>
      </w:r>
      <w:r w:rsidR="007D0801">
        <w:rPr>
          <w:rFonts w:cs="Times New Roman"/>
          <w:bCs/>
          <w:szCs w:val="24"/>
        </w:rPr>
        <w:t>—</w:t>
      </w:r>
      <w:r w:rsidR="007D0801" w:rsidRPr="007D0801">
        <w:rPr>
          <w:rFonts w:cs="Times New Roman"/>
          <w:bCs/>
          <w:szCs w:val="24"/>
        </w:rPr>
        <w:t>i.e., liability is directly proportional to the negligence of each party. (</w:t>
      </w:r>
      <w:r w:rsidR="007D0801" w:rsidRPr="007D0801">
        <w:rPr>
          <w:rFonts w:cs="Times New Roman"/>
          <w:bCs/>
          <w:i/>
          <w:iCs/>
          <w:szCs w:val="24"/>
        </w:rPr>
        <w:t>Burch v. CertainTeed Corp.</w:t>
      </w:r>
      <w:r w:rsidR="007D0801" w:rsidRPr="007D0801">
        <w:rPr>
          <w:rFonts w:cs="Times New Roman"/>
          <w:bCs/>
          <w:szCs w:val="24"/>
        </w:rPr>
        <w:t xml:space="preserve"> (2019) 34 Cal.App.5th 341, 357-58.)</w:t>
      </w:r>
      <w:r w:rsidR="007D0801">
        <w:rPr>
          <w:rFonts w:cs="Times New Roman"/>
          <w:bCs/>
          <w:szCs w:val="24"/>
        </w:rPr>
        <w:t xml:space="preserve"> </w:t>
      </w:r>
    </w:p>
    <w:p w14:paraId="7873D32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16453">
        <w:t>Apportionment</w:t>
      </w:r>
    </w:p>
    <w:p w14:paraId="5635EE59" w14:textId="77777777" w:rsidR="003F0E15" w:rsidRDefault="00916453" w:rsidP="00916453">
      <w:pPr>
        <w:spacing w:after="264"/>
        <w:ind w:left="1080" w:hanging="360"/>
        <w:rPr>
          <w:rFonts w:cs="Times New Roman"/>
          <w:bCs/>
          <w:szCs w:val="24"/>
        </w:rPr>
      </w:pPr>
      <w:r>
        <w:rPr>
          <w:rFonts w:cs="Times New Roman"/>
          <w:bCs/>
          <w:szCs w:val="24"/>
        </w:rPr>
        <w:t xml:space="preserve">—  </w:t>
      </w:r>
      <w:r w:rsidRPr="00A72D71">
        <w:rPr>
          <w:rFonts w:cs="Times New Roman"/>
          <w:bCs/>
          <w:szCs w:val="24"/>
        </w:rPr>
        <w:t>In comparative fault actions for personal injury, property damage, or wrongful death, each defendant’s liability for non-economic damages are several only, not joint. (Civ. Code</w:t>
      </w:r>
      <w:r>
        <w:rPr>
          <w:rFonts w:cs="Times New Roman"/>
          <w:bCs/>
          <w:szCs w:val="24"/>
        </w:rPr>
        <w:t>,</w:t>
      </w:r>
      <w:r w:rsidRPr="00A72D71">
        <w:rPr>
          <w:rFonts w:cs="Times New Roman"/>
          <w:bCs/>
          <w:szCs w:val="24"/>
        </w:rPr>
        <w:t xml:space="preserve"> § 1431.2.)</w:t>
      </w:r>
    </w:p>
    <w:p w14:paraId="1B8AE50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Waiver</w:t>
      </w:r>
    </w:p>
    <w:p w14:paraId="74CC9BAC" w14:textId="77777777" w:rsidR="003F0E15" w:rsidRDefault="00BE74E8" w:rsidP="00BE74E8">
      <w:pPr>
        <w:spacing w:after="264"/>
        <w:ind w:left="1080" w:hanging="360"/>
        <w:rPr>
          <w:rFonts w:cs="Times New Roman"/>
          <w:bCs/>
          <w:szCs w:val="24"/>
        </w:rPr>
      </w:pPr>
      <w:r>
        <w:rPr>
          <w:rFonts w:cs="Times New Roman"/>
          <w:bCs/>
          <w:szCs w:val="24"/>
        </w:rPr>
        <w:t xml:space="preserve">—  </w:t>
      </w:r>
      <w:r w:rsidR="00204113">
        <w:rPr>
          <w:rFonts w:cs="Times New Roman"/>
          <w:bCs/>
          <w:szCs w:val="24"/>
        </w:rPr>
        <w:t xml:space="preserve">As an affirmative defense, waiver </w:t>
      </w:r>
      <w:r w:rsidR="008D24AB">
        <w:rPr>
          <w:rFonts w:cs="Times New Roman"/>
          <w:bCs/>
          <w:szCs w:val="24"/>
        </w:rPr>
        <w:t>i</w:t>
      </w:r>
      <w:r w:rsidR="00EE2E57">
        <w:rPr>
          <w:rFonts w:cs="Times New Roman"/>
          <w:bCs/>
          <w:szCs w:val="24"/>
        </w:rPr>
        <w:t>s a</w:t>
      </w:r>
      <w:r w:rsidR="008D24AB">
        <w:rPr>
          <w:rFonts w:cs="Times New Roman"/>
          <w:bCs/>
          <w:szCs w:val="24"/>
        </w:rPr>
        <w:t xml:space="preserve"> type of estoppel</w:t>
      </w:r>
      <w:r w:rsidR="00EE2E57">
        <w:rPr>
          <w:rFonts w:cs="Times New Roman"/>
          <w:bCs/>
          <w:szCs w:val="24"/>
        </w:rPr>
        <w:t>. I</w:t>
      </w:r>
      <w:r w:rsidR="008D24AB">
        <w:rPr>
          <w:rFonts w:cs="Times New Roman"/>
          <w:bCs/>
          <w:szCs w:val="24"/>
        </w:rPr>
        <w:t xml:space="preserve">t prevents </w:t>
      </w:r>
      <w:r w:rsidR="00C343DA">
        <w:rPr>
          <w:rFonts w:cs="Times New Roman"/>
          <w:bCs/>
          <w:szCs w:val="24"/>
        </w:rPr>
        <w:t>a plaintiff</w:t>
      </w:r>
      <w:r w:rsidR="008D24AB">
        <w:rPr>
          <w:rFonts w:cs="Times New Roman"/>
          <w:bCs/>
          <w:szCs w:val="24"/>
        </w:rPr>
        <w:t xml:space="preserve"> from relying on a right (typically</w:t>
      </w:r>
      <w:r w:rsidR="00C343DA">
        <w:rPr>
          <w:rFonts w:cs="Times New Roman"/>
          <w:bCs/>
          <w:szCs w:val="24"/>
        </w:rPr>
        <w:t xml:space="preserve"> contractual) that the plaintiff would otherwise have no problem being able to enforce. Often, such </w:t>
      </w:r>
      <w:r w:rsidR="00CC1C85">
        <w:rPr>
          <w:rFonts w:cs="Times New Roman"/>
          <w:bCs/>
          <w:szCs w:val="24"/>
        </w:rPr>
        <w:t xml:space="preserve">a </w:t>
      </w:r>
      <w:r w:rsidR="00C343DA">
        <w:rPr>
          <w:rFonts w:cs="Times New Roman"/>
          <w:bCs/>
          <w:szCs w:val="24"/>
        </w:rPr>
        <w:t xml:space="preserve">waiver </w:t>
      </w:r>
      <w:r w:rsidR="00CC1C85">
        <w:rPr>
          <w:rFonts w:cs="Times New Roman"/>
          <w:bCs/>
          <w:szCs w:val="24"/>
        </w:rPr>
        <w:t>exists</w:t>
      </w:r>
      <w:r w:rsidR="00C343DA">
        <w:rPr>
          <w:rFonts w:cs="Times New Roman"/>
          <w:bCs/>
          <w:szCs w:val="24"/>
        </w:rPr>
        <w:t xml:space="preserve"> because the plaintiff did or said something that made the defendant believe that the provision in question was no longer in effect, and defendant relied upon that action/statement. </w:t>
      </w:r>
      <w:r w:rsidR="00C20105">
        <w:rPr>
          <w:rFonts w:cs="Times New Roman"/>
          <w:bCs/>
          <w:szCs w:val="24"/>
        </w:rPr>
        <w:t>(</w:t>
      </w:r>
      <w:r w:rsidR="00C20105">
        <w:rPr>
          <w:rFonts w:cs="Times New Roman"/>
          <w:bCs/>
          <w:i/>
          <w:iCs/>
          <w:szCs w:val="24"/>
        </w:rPr>
        <w:t>Wind Dancer Production Group v. Walt Disney Pictures</w:t>
      </w:r>
      <w:r w:rsidR="00C20105">
        <w:rPr>
          <w:rFonts w:cs="Times New Roman"/>
          <w:bCs/>
          <w:szCs w:val="24"/>
        </w:rPr>
        <w:t xml:space="preserve"> (2017) 10 Cal.App.5th 56, 78.) </w:t>
      </w:r>
    </w:p>
    <w:p w14:paraId="218D947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Failure to Mitigate</w:t>
      </w:r>
    </w:p>
    <w:p w14:paraId="79BA2F1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 xml:space="preserve">A plaintiff has a duty to take steps to mitigate damages and is </w:t>
      </w:r>
      <w:r w:rsidR="007F5801">
        <w:rPr>
          <w:rFonts w:cs="Times New Roman"/>
          <w:bCs/>
          <w:szCs w:val="24"/>
        </w:rPr>
        <w:t xml:space="preserve">therefore </w:t>
      </w:r>
      <w:r w:rsidR="007F5801" w:rsidRPr="007F5801">
        <w:rPr>
          <w:rFonts w:cs="Times New Roman"/>
          <w:bCs/>
          <w:szCs w:val="24"/>
        </w:rPr>
        <w:t xml:space="preserve">not entitled to damages that could have been avoided had </w:t>
      </w:r>
      <w:r w:rsidR="007F5801">
        <w:rPr>
          <w:rFonts w:cs="Times New Roman"/>
          <w:bCs/>
          <w:szCs w:val="24"/>
        </w:rPr>
        <w:t xml:space="preserve">the plaintiff taken those steps. </w:t>
      </w:r>
      <w:r w:rsidR="007F5801" w:rsidRPr="007F5801">
        <w:rPr>
          <w:rFonts w:cs="Times New Roman"/>
          <w:bCs/>
          <w:szCs w:val="24"/>
        </w:rPr>
        <w:t>(</w:t>
      </w:r>
      <w:r w:rsidR="007F5801" w:rsidRPr="007F5801">
        <w:rPr>
          <w:rFonts w:cs="Times New Roman"/>
          <w:bCs/>
          <w:i/>
          <w:iCs/>
          <w:szCs w:val="24"/>
        </w:rPr>
        <w:t>Agam v. Gavra</w:t>
      </w:r>
      <w:r w:rsidR="007F5801" w:rsidRPr="007F5801">
        <w:rPr>
          <w:rFonts w:cs="Times New Roman"/>
          <w:bCs/>
          <w:szCs w:val="24"/>
        </w:rPr>
        <w:t xml:space="preserve"> (2015) 236 Cal.App.4th 91, 111</w:t>
      </w:r>
      <w:r w:rsidR="007F5801">
        <w:rPr>
          <w:rFonts w:cs="Times New Roman"/>
          <w:bCs/>
          <w:szCs w:val="24"/>
        </w:rPr>
        <w:t>.</w:t>
      </w:r>
      <w:r w:rsidR="007F5801" w:rsidRPr="007F5801">
        <w:rPr>
          <w:rFonts w:cs="Times New Roman"/>
          <w:bCs/>
          <w:szCs w:val="24"/>
        </w:rPr>
        <w:t>)</w:t>
      </w:r>
    </w:p>
    <w:p w14:paraId="73BF77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Lack of Damages</w:t>
      </w:r>
    </w:p>
    <w:p w14:paraId="4AAD43CD"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Pr>
          <w:rFonts w:cs="Times New Roman"/>
          <w:bCs/>
          <w:szCs w:val="24"/>
        </w:rPr>
        <w:t>Damages is a necessary element in most causes of action. Consequently, if the plaintiff hasn’t been damaged, it’s almost certain that the plaintiff cannot prevail.</w:t>
      </w:r>
    </w:p>
    <w:p w14:paraId="7BCE8B9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Failure to State a Claim</w:t>
      </w:r>
    </w:p>
    <w:p w14:paraId="1D78E6E3"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This affirmative defense applies if the plaintiff fails to state facts sufficient to constitute a cause of action. (Code Civ. Proc.</w:t>
      </w:r>
      <w:r w:rsidR="007F5801">
        <w:rPr>
          <w:rFonts w:cs="Times New Roman"/>
          <w:bCs/>
          <w:szCs w:val="24"/>
        </w:rPr>
        <w:t>,</w:t>
      </w:r>
      <w:r w:rsidR="007F5801" w:rsidRPr="007F5801">
        <w:rPr>
          <w:rFonts w:cs="Times New Roman"/>
          <w:bCs/>
          <w:szCs w:val="24"/>
        </w:rPr>
        <w:t xml:space="preserve"> § 430.10(e).)</w:t>
      </w:r>
    </w:p>
    <w:p w14:paraId="699DE54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No Causation</w:t>
      </w:r>
    </w:p>
    <w:p w14:paraId="390BA96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The defendant is not liable for the plaintiff’s damages if another’s conduct was the cause of the harm. (</w:t>
      </w:r>
      <w:r w:rsidR="007F5801" w:rsidRPr="007F5801">
        <w:rPr>
          <w:rFonts w:cs="Times New Roman"/>
          <w:bCs/>
          <w:i/>
          <w:iCs/>
          <w:szCs w:val="24"/>
        </w:rPr>
        <w:t>Martinez v. Vintage Petroleum, Inc.</w:t>
      </w:r>
      <w:r w:rsidR="007F5801" w:rsidRPr="007F5801">
        <w:rPr>
          <w:rFonts w:cs="Times New Roman"/>
          <w:bCs/>
          <w:szCs w:val="24"/>
        </w:rPr>
        <w:t xml:space="preserve"> (1998) 68 Cal.App.4th 695, 700</w:t>
      </w:r>
      <w:r w:rsidR="007F5801">
        <w:rPr>
          <w:rFonts w:cs="Times New Roman"/>
          <w:bCs/>
          <w:szCs w:val="24"/>
        </w:rPr>
        <w:t xml:space="preserve"> </w:t>
      </w:r>
      <w:r w:rsidR="007F5801" w:rsidRPr="007F5801">
        <w:rPr>
          <w:rFonts w:cs="Times New Roman"/>
          <w:bCs/>
          <w:szCs w:val="24"/>
        </w:rPr>
        <w:t>[“</w:t>
      </w:r>
      <w:r w:rsidR="007F5801">
        <w:rPr>
          <w:rFonts w:cs="Times New Roman"/>
          <w:bCs/>
          <w:szCs w:val="24"/>
        </w:rPr>
        <w:t>i</w:t>
      </w:r>
      <w:r w:rsidR="007F5801" w:rsidRPr="007F5801">
        <w:rPr>
          <w:rFonts w:cs="Times New Roman"/>
          <w:bCs/>
          <w:szCs w:val="24"/>
        </w:rPr>
        <w:t>ntervening negligence cuts off liability</w:t>
      </w:r>
      <w:r w:rsidR="007F5801">
        <w:rPr>
          <w:rFonts w:cs="Times New Roman"/>
          <w:bCs/>
          <w:szCs w:val="24"/>
        </w:rPr>
        <w:t xml:space="preserve"> (i.e., it becomes a </w:t>
      </w:r>
      <w:r w:rsidR="007F5801" w:rsidRPr="007F5801">
        <w:rPr>
          <w:rFonts w:cs="Times New Roman"/>
          <w:bCs/>
          <w:szCs w:val="24"/>
        </w:rPr>
        <w:t>superseding cause</w:t>
      </w:r>
      <w:r w:rsidR="007F5801">
        <w:rPr>
          <w:rFonts w:cs="Times New Roman"/>
          <w:bCs/>
          <w:szCs w:val="24"/>
        </w:rPr>
        <w:t>) if the intervening cause, and its results, are not reasonably foreseeable].)</w:t>
      </w:r>
    </w:p>
    <w:p w14:paraId="1F997F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Justification</w:t>
      </w:r>
    </w:p>
    <w:p w14:paraId="22BDF12D"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1" w:name="_Hlk41472064"/>
      <w:r w:rsidR="00646E4E" w:rsidRPr="00646E4E">
        <w:rPr>
          <w:rFonts w:cs="Times New Roman"/>
          <w:bCs/>
          <w:szCs w:val="24"/>
        </w:rPr>
        <w:t>Because of the defendant’s legally protected interest, the defendant’s appropriate conduct was justified in protecting that interest. (</w:t>
      </w:r>
      <w:r w:rsidR="00646E4E" w:rsidRPr="00646E4E">
        <w:rPr>
          <w:rFonts w:cs="Times New Roman"/>
          <w:bCs/>
          <w:i/>
          <w:iCs/>
          <w:szCs w:val="24"/>
        </w:rPr>
        <w:t xml:space="preserve">Richardson v. La </w:t>
      </w:r>
      <w:proofErr w:type="spellStart"/>
      <w:r w:rsidR="00646E4E" w:rsidRPr="00646E4E">
        <w:rPr>
          <w:rFonts w:cs="Times New Roman"/>
          <w:bCs/>
          <w:i/>
          <w:iCs/>
          <w:szCs w:val="24"/>
        </w:rPr>
        <w:t>Rancherita</w:t>
      </w:r>
      <w:proofErr w:type="spellEnd"/>
      <w:r w:rsidR="00646E4E" w:rsidRPr="00646E4E">
        <w:rPr>
          <w:rFonts w:cs="Times New Roman"/>
          <w:bCs/>
          <w:szCs w:val="24"/>
        </w:rPr>
        <w:t xml:space="preserve"> (1979) 98 Cal.App.3d 73.)</w:t>
      </w:r>
      <w:bookmarkEnd w:id="31"/>
      <w:r w:rsidR="00665D97">
        <w:rPr>
          <w:rFonts w:cs="Times New Roman"/>
          <w:bCs/>
          <w:szCs w:val="24"/>
        </w:rPr>
        <w:t xml:space="preserve"> How this affirmative defense is applied, however, depends upon the nature of the claims alleged. For example, </w:t>
      </w:r>
      <w:r w:rsidR="00665D97" w:rsidRPr="00665D97">
        <w:rPr>
          <w:rFonts w:cs="Times New Roman"/>
          <w:bCs/>
          <w:szCs w:val="24"/>
        </w:rPr>
        <w:t>in response to an invasion of privacy claim, a defendant may be justified in violating a plaintiff’s privacy interest if the reason for the invasion outweighs the plaintiff’s privacy interest. (</w:t>
      </w:r>
      <w:r w:rsidR="00665D97" w:rsidRPr="00665D97">
        <w:rPr>
          <w:rFonts w:cs="Times New Roman"/>
          <w:bCs/>
          <w:i/>
          <w:iCs/>
          <w:szCs w:val="24"/>
        </w:rPr>
        <w:t>Lewis v. Superior Court</w:t>
      </w:r>
      <w:r w:rsidR="00665D97"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36B2056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Consent</w:t>
      </w:r>
    </w:p>
    <w:p w14:paraId="276C75E3" w14:textId="77777777" w:rsidR="003F0E15" w:rsidRDefault="00BE74E8" w:rsidP="00BE74E8">
      <w:pPr>
        <w:spacing w:after="264"/>
        <w:ind w:left="1080" w:hanging="360"/>
        <w:rPr>
          <w:rFonts w:cs="Times New Roman"/>
          <w:bCs/>
          <w:szCs w:val="24"/>
        </w:rPr>
      </w:pPr>
      <w:r>
        <w:rPr>
          <w:rFonts w:cs="Times New Roman"/>
          <w:bCs/>
          <w:szCs w:val="24"/>
        </w:rPr>
        <w:t xml:space="preserve">—  </w:t>
      </w:r>
      <w:r w:rsidR="00AC6338" w:rsidRPr="00AC6338">
        <w:rPr>
          <w:rFonts w:cs="Times New Roman"/>
          <w:bCs/>
          <w:szCs w:val="24"/>
        </w:rPr>
        <w:t xml:space="preserve">The defendant is not liable for the plaintiff’s harm if the plaintiff consented to the conduct prior to the harm-producing conduct’s occurrence. (Civ. Code, §§ 3515, 3516; </w:t>
      </w:r>
      <w:r w:rsidR="00AC6338" w:rsidRPr="00C45CEA">
        <w:rPr>
          <w:rFonts w:cs="Times New Roman"/>
          <w:bCs/>
          <w:i/>
          <w:iCs/>
          <w:szCs w:val="24"/>
        </w:rPr>
        <w:t>Austin B. v. Escondido Union School Dist.</w:t>
      </w:r>
      <w:r w:rsidR="00AC6338" w:rsidRPr="00AC6338">
        <w:rPr>
          <w:rFonts w:cs="Times New Roman"/>
          <w:bCs/>
          <w:szCs w:val="24"/>
        </w:rPr>
        <w:t xml:space="preserve"> (2007) 149 Cal.App.4th 860, 875; </w:t>
      </w:r>
      <w:r w:rsidR="00AC6338" w:rsidRPr="00C45CEA">
        <w:rPr>
          <w:rFonts w:cs="Times New Roman"/>
          <w:bCs/>
          <w:i/>
          <w:iCs/>
          <w:szCs w:val="24"/>
        </w:rPr>
        <w:t>Royer v. Steinberg</w:t>
      </w:r>
      <w:r w:rsidR="00AC6338" w:rsidRPr="00AC6338">
        <w:rPr>
          <w:rFonts w:cs="Times New Roman"/>
          <w:bCs/>
          <w:szCs w:val="24"/>
        </w:rPr>
        <w:t xml:space="preserve"> (1979) 90 Cal.App.3d 490, 498.)</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Section 15.01(a)</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3890A23A" w14:textId="576B406F" w:rsidR="00CF3385" w:rsidRDefault="00CF3385" w:rsidP="00CF3385">
      <w:pPr>
        <w:spacing w:after="264"/>
      </w:pPr>
      <w:r>
        <w:t>Based upon the information/evidence that Client has provided thus far, it appears that the opposing party has standing to pursue each of the claims alleged against Client.</w:t>
      </w:r>
    </w:p>
    <w:p w14:paraId="421B854B" w14:textId="77777777" w:rsidR="00CF3385" w:rsidRDefault="00CF3385" w:rsidP="00CF3385">
      <w:pPr>
        <w:spacing w:after="264"/>
      </w:pPr>
      <w:r>
        <w:lastRenderedPageBreak/>
        <w:t>Based upon the information/evidence that Client has provided thus far, Client has standing to pursue every cross-claim described above against each of the intended defendants (excluding DOES, of course).</w:t>
      </w:r>
    </w:p>
    <w:p w14:paraId="603DE9D6" w14:textId="77777777" w:rsidR="005708BA" w:rsidRDefault="005708BA" w:rsidP="005708BA">
      <w:pPr>
        <w:spacing w:after="264"/>
      </w:pPr>
      <w:r>
        <w:t xml:space="preserve">This section is </w:t>
      </w:r>
      <w:r>
        <w:rPr>
          <w:i/>
          <w:iCs/>
        </w:rPr>
        <w:t>not</w:t>
      </w:r>
      <w:r>
        <w:t xml:space="preserve"> intended to address whether or not the statute of limitations has run on a particular cross-claim that might have otherwise been relevant under the facts. Those specifics can be found in reference to each of the potential cross-claims discussed above. </w:t>
      </w:r>
    </w:p>
    <w:p w14:paraId="4240A51D" w14:textId="3BA7FA31" w:rsidR="005708BA" w:rsidRDefault="005708BA" w:rsidP="005708BA">
      <w:pPr>
        <w:spacing w:after="264"/>
      </w:pPr>
      <w:r>
        <w:lastRenderedPageBreak/>
        <w:t xml:space="preserve">Rather, this section of the </w:t>
      </w:r>
      <w:r>
        <w:t>Preliminary Analysis</w:t>
      </w:r>
      <w:r>
        <w:t xml:space="preserve"> is intended only to highlight the earliest statute of limitations relevant to one of the available above-referenced cross-claims. If, therefore, Client wants to file a cross-complaint containing the applicable the causes of action discussed above, the action must be filed on or before </w:t>
      </w:r>
      <w:r>
        <w:rPr>
          <w:rFonts w:cs="Times New Roman"/>
          <w:b/>
          <w:bCs/>
          <w:color w:val="C00000"/>
          <w:szCs w:val="24"/>
          <w:u w:val="single"/>
        </w:rPr>
        <w:t>July 13, 2030</w:t>
      </w:r>
      <w:r>
        <w:t>.</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3A127D92" w:rsidR="003F0E15" w:rsidRDefault="00ED6677" w:rsidP="0059538A">
      <w:pPr>
        <w:pStyle w:val="Heading1"/>
        <w:spacing w:after="264"/>
      </w:pPr>
      <w:r w:rsidRPr="00274E8F">
        <w:fldChar w:fldCharType="begin"/>
      </w:r>
      <w:r w:rsidR="005708BA">
        <w:instrText xml:space="preserve"> LISTNUM LegalDefault \l 1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3439BB"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lastRenderedPageBreak/>
        <w:t>________________________________</w:t>
      </w:r>
    </w:p>
    <w:p w14:paraId="49594AFB" w14:textId="1F85E84D" w:rsidR="00D71613" w:rsidRDefault="00D71613" w:rsidP="00D71613">
      <w:pPr>
        <w:pStyle w:val="Heading1"/>
        <w:spacing w:after="264"/>
      </w:pPr>
      <w:r w:rsidRPr="00274E8F">
        <w:fldChar w:fldCharType="begin"/>
      </w:r>
      <w:r w:rsidR="005708BA">
        <w:instrText xml:space="preserve"> LISTNUM LegalDefault \l 1 </w:instrText>
      </w:r>
      <w:r w:rsidRPr="00274E8F">
        <w:fldChar w:fldCharType="end"/>
      </w:r>
      <w:r>
        <w:b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ACE63C0"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don’t </w:t>
      </w:r>
      <w:r w:rsidR="00186916">
        <w:rPr>
          <w:rFonts w:cs="Times New Roman"/>
          <w:bCs/>
          <w:szCs w:val="24"/>
        </w:rPr>
        <w:t>necessarily make</w:t>
      </w:r>
      <w:r>
        <w:rPr>
          <w:rFonts w:cs="Times New Roman"/>
          <w:bCs/>
          <w:szCs w:val="24"/>
        </w:rPr>
        <w:t xml:space="preserve"> good litigation cases. </w:t>
      </w:r>
      <w:r w:rsidR="00186916">
        <w:rPr>
          <w:rFonts w:cs="Times New Roman"/>
          <w:bCs/>
          <w:szCs w:val="24"/>
        </w:rPr>
        <w:t xml:space="preserve">Not only are we often very successful at negotiating settlements during the ADR process notwithstanding the fact that our legal contentions might not be as strong as we may have indicated, but we’re often able to negotiate concessions during the ADR process that wouldn’t be available as remedies in litigation.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75A9" w14:textId="77777777" w:rsidR="003439BB" w:rsidRDefault="003439BB" w:rsidP="00123934">
      <w:pPr>
        <w:spacing w:after="264"/>
      </w:pPr>
      <w:r>
        <w:separator/>
      </w:r>
    </w:p>
  </w:endnote>
  <w:endnote w:type="continuationSeparator" w:id="0">
    <w:p w14:paraId="0D94A3F0" w14:textId="77777777" w:rsidR="003439BB" w:rsidRDefault="003439BB"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3439BB" w:rsidP="00BA614F">
          <w:pPr>
            <w:pStyle w:val="Footer"/>
            <w:spacing w:after="264"/>
            <w:jc w:val="right"/>
            <w:rPr>
              <w:rFonts w:cs="Times New Roman"/>
              <w:sz w:val="18"/>
              <w:szCs w:val="18"/>
            </w:rPr>
          </w:pPr>
          <w:r>
            <w:rPr>
              <w:rFonts w:cs="Times New Roman"/>
              <w:sz w:val="18"/>
              <w:szCs w:val="18"/>
            </w:rPr>
            <w:t>Hendsch adv. Seacliff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A6BE5" w14:textId="77777777" w:rsidR="003439BB" w:rsidRDefault="003439BB" w:rsidP="00123934">
      <w:pPr>
        <w:spacing w:after="264"/>
      </w:pPr>
      <w:r>
        <w:separator/>
      </w:r>
    </w:p>
  </w:footnote>
  <w:footnote w:type="continuationSeparator" w:id="0">
    <w:p w14:paraId="5C391383" w14:textId="77777777" w:rsidR="003439BB" w:rsidRDefault="003439BB"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6916"/>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2B3C"/>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9BB"/>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08BA"/>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555"/>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81B"/>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A7016"/>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6DF5"/>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5D37"/>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B5525"/>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2D7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
      <w:docPartPr>
        <w:name w:val="C01C59B49245473B8A4B8616E4FCA54B"/>
        <w:category>
          <w:name w:val="General"/>
          <w:gallery w:val="placeholder"/>
        </w:category>
        <w:types>
          <w:type w:val="bbPlcHdr"/>
        </w:types>
        <w:behaviors>
          <w:behavior w:val="content"/>
        </w:behaviors>
        <w:guid w:val="{A5322F0D-1C37-47AC-A574-188F20BAF543}"/>
      </w:docPartPr>
      <w:docPartBody>
        <w:p w:rsidR="006C2DEB" w:rsidRDefault="00262A90" w:rsidP="00262A90">
          <w:pPr>
            <w:pStyle w:val="C01C59B49245473B8A4B8616E4FCA54B"/>
          </w:pPr>
          <w:r w:rsidRPr="00404A3B">
            <w:rPr>
              <w:rStyle w:val="PlaceholderText"/>
            </w:rPr>
            <w:t>Click or tap here to enter text.</w:t>
          </w:r>
        </w:p>
      </w:docPartBody>
    </w:docPart>
    <w:docPart>
      <w:docPartPr>
        <w:name w:val="20DB76ACF53E4240B898D98589176096"/>
        <w:category>
          <w:name w:val="General"/>
          <w:gallery w:val="placeholder"/>
        </w:category>
        <w:types>
          <w:type w:val="bbPlcHdr"/>
        </w:types>
        <w:behaviors>
          <w:behavior w:val="content"/>
        </w:behaviors>
        <w:guid w:val="{D74878CC-4CE6-4618-9A21-34FCF909162F}"/>
      </w:docPartPr>
      <w:docPartBody>
        <w:p w:rsidR="006C2DEB" w:rsidRDefault="00262A90" w:rsidP="00262A90">
          <w:pPr>
            <w:pStyle w:val="20DB76ACF53E4240B898D98589176096"/>
          </w:pPr>
          <w:r w:rsidRPr="00F722FF">
            <w:rPr>
              <w:rStyle w:val="PlaceholderText"/>
            </w:rPr>
            <w:t>Click or tap here to enter text.</w:t>
          </w:r>
        </w:p>
      </w:docPartBody>
    </w:docPart>
    <w:docPart>
      <w:docPartPr>
        <w:name w:val="55D8A824A8324D2EAD88529CDC0A24BF"/>
        <w:category>
          <w:name w:val="General"/>
          <w:gallery w:val="placeholder"/>
        </w:category>
        <w:types>
          <w:type w:val="bbPlcHdr"/>
        </w:types>
        <w:behaviors>
          <w:behavior w:val="content"/>
        </w:behaviors>
        <w:guid w:val="{C086C238-7FE0-4A6D-BDAB-E30E1171841D}"/>
      </w:docPartPr>
      <w:docPartBody>
        <w:p w:rsidR="006C2DEB" w:rsidRDefault="00262A90" w:rsidP="00262A90">
          <w:pPr>
            <w:pStyle w:val="55D8A824A8324D2EAD88529CDC0A24BF"/>
          </w:pPr>
          <w:r w:rsidRPr="000D4732">
            <w:rPr>
              <w:rStyle w:val="PlaceholderText"/>
            </w:rPr>
            <w:t>Click or tap here to enter text.</w:t>
          </w:r>
        </w:p>
      </w:docPartBody>
    </w:docPart>
    <w:docPart>
      <w:docPartPr>
        <w:name w:val="A9D7298D756E4C88A23062268F8C8406"/>
        <w:category>
          <w:name w:val="General"/>
          <w:gallery w:val="placeholder"/>
        </w:category>
        <w:types>
          <w:type w:val="bbPlcHdr"/>
        </w:types>
        <w:behaviors>
          <w:behavior w:val="content"/>
        </w:behaviors>
        <w:guid w:val="{34A79B50-8801-45E3-9517-1E7BACB54683}"/>
      </w:docPartPr>
      <w:docPartBody>
        <w:p w:rsidR="006C2DEB" w:rsidRDefault="00262A90" w:rsidP="00262A90">
          <w:pPr>
            <w:pStyle w:val="A9D7298D756E4C88A23062268F8C8406"/>
          </w:pPr>
          <w:r w:rsidRPr="00404A3B">
            <w:rPr>
              <w:rStyle w:val="PlaceholderText"/>
            </w:rPr>
            <w:t>Click or tap here to enter text.</w:t>
          </w:r>
        </w:p>
      </w:docPartBody>
    </w:docPart>
    <w:docPart>
      <w:docPartPr>
        <w:name w:val="15D05B430BCF4B689AB3ECF41EAD28AB"/>
        <w:category>
          <w:name w:val="General"/>
          <w:gallery w:val="placeholder"/>
        </w:category>
        <w:types>
          <w:type w:val="bbPlcHdr"/>
        </w:types>
        <w:behaviors>
          <w:behavior w:val="content"/>
        </w:behaviors>
        <w:guid w:val="{87DBC465-1DE8-4AFD-806C-1D43AD411FF7}"/>
      </w:docPartPr>
      <w:docPartBody>
        <w:p w:rsidR="006C2DEB" w:rsidRDefault="00262A90" w:rsidP="00262A90">
          <w:pPr>
            <w:pStyle w:val="15D05B430BCF4B689AB3ECF41EAD28AB"/>
          </w:pPr>
          <w:r w:rsidRPr="000D4732">
            <w:rPr>
              <w:rStyle w:val="PlaceholderText"/>
            </w:rPr>
            <w:t>Click or tap here to enter text.</w:t>
          </w:r>
        </w:p>
      </w:docPartBody>
    </w:docPart>
    <w:docPart>
      <w:docPartPr>
        <w:name w:val="24D04BFDEA5648C1B2D863FD10BD6E8A"/>
        <w:category>
          <w:name w:val="General"/>
          <w:gallery w:val="placeholder"/>
        </w:category>
        <w:types>
          <w:type w:val="bbPlcHdr"/>
        </w:types>
        <w:behaviors>
          <w:behavior w:val="content"/>
        </w:behaviors>
        <w:guid w:val="{69EDACFD-91EB-44B9-A8E6-32511C347AD3}"/>
      </w:docPartPr>
      <w:docPartBody>
        <w:p w:rsidR="006C2DEB" w:rsidRDefault="00262A90" w:rsidP="00262A90">
          <w:pPr>
            <w:pStyle w:val="24D04BFDEA5648C1B2D863FD10BD6E8A"/>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62A90"/>
    <w:rsid w:val="002A027D"/>
    <w:rsid w:val="002B68EA"/>
    <w:rsid w:val="002E6CDC"/>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2DEB"/>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86DF5"/>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B1FFE"/>
    <w:rsid w:val="00BE5D01"/>
    <w:rsid w:val="00BF4E23"/>
    <w:rsid w:val="00BF5D37"/>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A90"/>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 w:type="paragraph" w:customStyle="1" w:styleId="C01C59B49245473B8A4B8616E4FCA54B">
    <w:name w:val="C01C59B49245473B8A4B8616E4FCA54B"/>
    <w:rsid w:val="00262A90"/>
    <w:pPr>
      <w:spacing w:line="278" w:lineRule="auto"/>
    </w:pPr>
    <w:rPr>
      <w:kern w:val="2"/>
      <w:sz w:val="24"/>
      <w:szCs w:val="24"/>
      <w14:ligatures w14:val="standardContextual"/>
    </w:rPr>
  </w:style>
  <w:style w:type="paragraph" w:customStyle="1" w:styleId="3707CB6FF4CC4784947B567BCC00477C">
    <w:name w:val="3707CB6FF4CC4784947B567BCC00477C"/>
    <w:rsid w:val="00262A90"/>
    <w:pPr>
      <w:spacing w:line="278" w:lineRule="auto"/>
    </w:pPr>
    <w:rPr>
      <w:kern w:val="2"/>
      <w:sz w:val="24"/>
      <w:szCs w:val="24"/>
      <w14:ligatures w14:val="standardContextual"/>
    </w:rPr>
  </w:style>
  <w:style w:type="paragraph" w:customStyle="1" w:styleId="20DB76ACF53E4240B898D98589176096">
    <w:name w:val="20DB76ACF53E4240B898D98589176096"/>
    <w:rsid w:val="00262A90"/>
    <w:pPr>
      <w:spacing w:line="278" w:lineRule="auto"/>
    </w:pPr>
    <w:rPr>
      <w:kern w:val="2"/>
      <w:sz w:val="24"/>
      <w:szCs w:val="24"/>
      <w14:ligatures w14:val="standardContextual"/>
    </w:rPr>
  </w:style>
  <w:style w:type="paragraph" w:customStyle="1" w:styleId="55D8A824A8324D2EAD88529CDC0A24BF">
    <w:name w:val="55D8A824A8324D2EAD88529CDC0A24BF"/>
    <w:rsid w:val="00262A90"/>
    <w:pPr>
      <w:spacing w:line="278" w:lineRule="auto"/>
    </w:pPr>
    <w:rPr>
      <w:kern w:val="2"/>
      <w:sz w:val="24"/>
      <w:szCs w:val="24"/>
      <w14:ligatures w14:val="standardContextual"/>
    </w:rPr>
  </w:style>
  <w:style w:type="paragraph" w:customStyle="1" w:styleId="A9D7298D756E4C88A23062268F8C8406">
    <w:name w:val="A9D7298D756E4C88A23062268F8C8406"/>
    <w:rsid w:val="00262A90"/>
    <w:pPr>
      <w:spacing w:line="278" w:lineRule="auto"/>
    </w:pPr>
    <w:rPr>
      <w:kern w:val="2"/>
      <w:sz w:val="24"/>
      <w:szCs w:val="24"/>
      <w14:ligatures w14:val="standardContextual"/>
    </w:rPr>
  </w:style>
  <w:style w:type="paragraph" w:customStyle="1" w:styleId="15D05B430BCF4B689AB3ECF41EAD28AB">
    <w:name w:val="15D05B430BCF4B689AB3ECF41EAD28AB"/>
    <w:rsid w:val="00262A90"/>
    <w:pPr>
      <w:spacing w:line="278" w:lineRule="auto"/>
    </w:pPr>
    <w:rPr>
      <w:kern w:val="2"/>
      <w:sz w:val="24"/>
      <w:szCs w:val="24"/>
      <w14:ligatures w14:val="standardContextual"/>
    </w:rPr>
  </w:style>
  <w:style w:type="paragraph" w:customStyle="1" w:styleId="24D04BFDEA5648C1B2D863FD10BD6E8A">
    <w:name w:val="24D04BFDEA5648C1B2D863FD10BD6E8A"/>
    <w:rsid w:val="00262A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115</Pages>
  <Words>31201</Words>
  <Characters>174107</Characters>
  <Application>Microsoft Office Word</Application>
  <DocSecurity>0</DocSecurity>
  <Lines>3224</Lines>
  <Paragraphs>1669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216</cp:revision>
  <cp:lastPrinted>2020-05-21T21:26:00Z</cp:lastPrinted>
  <dcterms:created xsi:type="dcterms:W3CDTF">2020-06-05T16:34:00Z</dcterms:created>
  <dcterms:modified xsi:type="dcterms:W3CDTF">2026-10-19T17:08:00Z</dcterms:modified>
</cp:coreProperties>
</file>