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08557E" w:rsidP="00FD77B5">
      <w:pPr>
        <w:spacing w:afterLines="0" w:after="0"/>
        <w:jc w:val="center"/>
        <w:rPr>
          <w:rFonts w:cs="Times New Roman"/>
          <w:color w:val="000099"/>
          <w:sz w:val="52"/>
          <w:szCs w:val="52"/>
        </w:rPr>
      </w:pPr>
      <w:r>
        <w:rPr>
          <w:rFonts w:cs="Times New Roman"/>
          <w:color w:val="000099"/>
          <w:sz w:val="52"/>
          <w:szCs w:val="52"/>
        </w:rPr>
        <w:t>Bedford Parc HOA v. Priestley</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08557E" w:rsidP="00FD77B5">
      <w:pPr>
        <w:spacing w:afterLines="0" w:after="0"/>
        <w:jc w:val="center"/>
        <w:rPr>
          <w:rFonts w:cs="Times New Roman"/>
          <w:sz w:val="28"/>
          <w:szCs w:val="28"/>
        </w:rPr>
      </w:pPr>
      <w:r>
        <w:rPr>
          <w:rFonts w:cs="Times New Roman"/>
          <w:color w:val="000099"/>
          <w:sz w:val="28"/>
          <w:szCs w:val="28"/>
        </w:rPr>
        <w:t>25STCV13277</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08557E" w:rsidP="00D66223">
      <w:pPr>
        <w:spacing w:afterLines="0" w:after="0"/>
        <w:jc w:val="center"/>
        <w:rPr>
          <w:rFonts w:cs="Times New Roman"/>
          <w:bCs/>
          <w:color w:val="000099"/>
          <w:sz w:val="28"/>
          <w:szCs w:val="28"/>
        </w:rPr>
      </w:pPr>
      <w:r>
        <w:rPr>
          <w:rFonts w:cs="Times New Roman"/>
          <w:bCs/>
          <w:color w:val="000099"/>
          <w:sz w:val="28"/>
          <w:szCs w:val="28"/>
        </w:rPr>
        <w:t>JG</w:t>
      </w:r>
    </w:p>
    <w:p w14:paraId="56F0E1E5" w14:textId="40D4C27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8557E">
        <w:rPr>
          <w:rFonts w:cs="Times New Roman"/>
          <w:bCs/>
          <w:noProof/>
          <w:color w:val="000099"/>
          <w:sz w:val="26"/>
          <w:szCs w:val="26"/>
        </w:rPr>
        <w:t>October 10, 2024</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08557E">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08557E">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08557E">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08557E">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08557E">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08557E">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08557E">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08557E">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08557E">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08557E">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08557E">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08557E">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08557E">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08557E">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08557E">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08557E">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08557E">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08557E">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08557E">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08557E">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08557E">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08557E">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08557E">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08557E">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08557E">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08557E">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08557E">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08557E">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08557E">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08557E">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08557E">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08557E">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08557E">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08557E">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08557E">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08557E">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08557E">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08557E">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08557E">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08557E">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08557E">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08557E">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08557E">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08557E">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08557E">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08557E">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08557E">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08557E">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08557E">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08557E">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08557E">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08557E">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08557E">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08557E">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08557E">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08557E">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08557E">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08557E">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08557E">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08557E">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08557E">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08557E">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08557E">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08557E">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08557E">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08557E">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08557E">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08557E">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08557E">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08557E">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08557E">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08557E">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08557E">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08557E">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08557E">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08557E">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08557E">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08557E">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08557E">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08557E">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08557E">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08557E">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08557E">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08557E">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08557E">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08557E">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08557E">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08557E">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08557E">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08557E">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08557E">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08557E">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08557E">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08557E">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08557E">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08557E">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08557E">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08557E">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08557E">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08557E">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08557E">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08557E">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08557E">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08557E">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08557E">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08557E">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08557E">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08557E">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08557E">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08557E">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08557E">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08557E">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08557E">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08557E">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08557E">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08557E">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08557E">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08557E">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08557E">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08557E" w:rsidP="00FB173A">
      <w:pPr>
        <w:pStyle w:val="NormalEnd"/>
      </w:pPr>
      <w:r>
        <w:t>
          Darryl and Phyllis Priestley co-own the real property located at 3750 Santa Rosalia Unit 401, Los Angeles, CA, 90008 (the “Property”). In July of 2015, Darryl (father) and Phyllis (daughter) purchased the Property and installed hardwood flooring. The HOA president at the time, James Crayton, saw the flooring get installed. Now, the owner of Unit 301 has repeatedly complained about noise from the Property, and the Association has sought enforcement related to the hardwood flooring and its compliance with the Architectural Guidelines. 
          <w:br/>
          The Association also seeks to enforce restrictions on smoking against Client, as other members have alleged that someone at the Property is smoking from the balcony. Conversely, the HOA fails to address noise and smoking complaints from Client. Client has complained of noise from Unit 501 and the Association has not taken similar corrective action that its demanded from Client. Additionally, Client has complained of marijuana odors from the common area lobby, and of the HOA President’s boyfriend smoking 100ft away from the common area pool. Phyllis Priestley has also been the target of harassment from the upstairs neighbor and believes that the upstairs neighbor was prepared to threaten her with a firearm. Consequently, Client feels harassed and targeted.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08557E" w:rsidP="00B83DD4">
            <w:pPr>
              <w:spacing w:afterLines="0" w:after="0"/>
              <w:rPr>
                <w:rFonts w:ascii="Times New Roman" w:hAnsi="Times New Roman" w:cs="Times New Roman"/>
                <w:sz w:val="20"/>
                <w:szCs w:val="20"/>
              </w:rPr>
            </w:pPr>
            <w:r>
              <w:rPr>
                <w:rFonts w:cs="Times New Roman"/>
                <w:sz w:val="20"/>
                <w:szCs w:val="20"/>
              </w:rPr>
              <w:t>Darryl and Phyllis Priestley</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Santa Rosalia 71, Inc. dba Bedford Parc Homeowners Association</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08557E" w:rsidP="00B83DD4">
            <w:pPr>
              <w:spacing w:afterLines="0" w:after="0"/>
              <w:rPr>
                <w:rFonts w:ascii="Times New Roman" w:hAnsi="Times New Roman" w:cs="Times New Roman"/>
                <w:sz w:val="20"/>
                <w:szCs w:val="20"/>
              </w:rPr>
            </w:pPr>
            <w:r>
              <w:rPr>
                <w:rFonts w:cs="Times New Roman"/>
                <w:sz w:val="20"/>
                <w:szCs w:val="20"/>
              </w:rPr>
              <w:t>HOA</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Document</w:t>
            </w:r>
            <w:r w:rsidR="00DB2BFF" w:rsidRPr="00D010AC">
              <w:rPr>
                <w:rFonts w:ascii="Times New Roman" w:hAnsi="Times New Roman" w:cs="Times New Roman"/>
                <w:b/>
                <w:lang w:val="fr-FR"/>
              </w:rPr>
              <w:t xml:space="preserve"> Name</w:t>
            </w:r>
          </w:p>
          <w:p w14:paraId="12F2346B" w14:textId="77777777" w:rsidR="001B2429" w:rsidRPr="00D010AC" w:rsidRDefault="001B2429" w:rsidP="00CB4C47">
            <w:pPr>
              <w:spacing w:afterLines="0" w:after="0"/>
              <w:jc w:val="center"/>
              <w:rPr>
                <w:rFonts w:ascii="Times New Roman" w:hAnsi="Times New Roman" w:cs="Times New Roman"/>
                <w:b/>
                <w:lang w:val="fr-FR"/>
              </w:rPr>
            </w:pPr>
            <w:r w:rsidRPr="00D010AC">
              <w:rPr>
                <w:rFonts w:ascii="Times New Roman" w:hAnsi="Times New Roman" w:cs="Times New Roman"/>
                <w:b/>
                <w:lang w:val="fr-FR"/>
              </w:rPr>
              <w:t>Article / Section No.</w:t>
            </w:r>
          </w:p>
          <w:p w14:paraId="70D19C13" w14:textId="77777777" w:rsidR="001B2429" w:rsidRPr="00D010AC" w:rsidRDefault="001B2429" w:rsidP="00CB4C47">
            <w:pPr>
              <w:spacing w:afterLines="0" w:after="0"/>
              <w:rPr>
                <w:rFonts w:ascii="Times New Roman" w:hAnsi="Times New Roman" w:cs="Times New Roman"/>
                <w:b/>
                <w:lang w:val="fr-FR"/>
              </w:rPr>
            </w:pPr>
          </w:p>
        </w:tc>
        <w:tc>
          <w:tcPr>
            <w:tcW w:w="8550" w:type="dxa"/>
            <w:shd w:val="clear" w:color="auto" w:fill="B4C6E7" w:themeFill="accent1" w:themeFillTint="66"/>
          </w:tcPr>
          <w:p w14:paraId="345D6F60" w14:textId="77777777" w:rsidR="001B2429" w:rsidRPr="00D010AC" w:rsidRDefault="001B2429" w:rsidP="00CB4C47">
            <w:pPr>
              <w:spacing w:afterLines="0" w:after="0"/>
              <w:rPr>
                <w:rFonts w:ascii="Times New Roman" w:hAnsi="Times New Roman" w:cs="Times New Roman"/>
                <w:b/>
                <w:lang w:val="fr-FR"/>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roofErr w:type="spellStart"/>
            <w:r w:rsidRPr="00D010AC">
              <w:rPr>
                <w:rFonts w:ascii="Times New Roman" w:hAnsi="Times New Roman" w:cs="Times New Roman"/>
                <w:sz w:val="20"/>
                <w:szCs w:val="20"/>
                <w:highlight w:val="green"/>
                <w:lang w:val="fr-FR"/>
              </w:rPr>
              <w:t>CC&amp;Rs</w:t>
            </w:r>
            <w:proofErr w:type="spellEnd"/>
          </w:p>
          <w:p w14:paraId="55824A13" w14:textId="69DB9F61" w:rsidR="001B2429" w:rsidRPr="00D010AC" w:rsidRDefault="005015C1" w:rsidP="00CB4C47">
            <w:pPr>
              <w:spacing w:afterLines="0" w:after="0"/>
              <w:jc w:val="center"/>
              <w:rPr>
                <w:rFonts w:ascii="Times New Roman" w:hAnsi="Times New Roman" w:cs="Times New Roman"/>
                <w:sz w:val="20"/>
                <w:szCs w:val="20"/>
                <w:highlight w:val="green"/>
                <w:lang w:val="fr-FR"/>
              </w:rPr>
            </w:pPr>
            <w:r w:rsidRPr="00D010AC">
              <w:rPr>
                <w:rFonts w:ascii="Times New Roman" w:hAnsi="Times New Roman" w:cs="Times New Roman"/>
                <w:sz w:val="20"/>
                <w:szCs w:val="20"/>
                <w:highlight w:val="green"/>
                <w:lang w:val="fr-FR"/>
              </w:rPr>
              <w:t xml:space="preserve">Article IX, </w:t>
            </w:r>
            <w:r w:rsidR="001B2429" w:rsidRPr="00D010AC">
              <w:rPr>
                <w:rFonts w:ascii="Times New Roman" w:hAnsi="Times New Roman" w:cs="Times New Roman"/>
                <w:sz w:val="20"/>
                <w:szCs w:val="20"/>
                <w:highlight w:val="green"/>
                <w:lang w:val="fr-FR"/>
              </w:rPr>
              <w:t>Section 6.01</w:t>
            </w:r>
          </w:p>
          <w:p w14:paraId="02609DF6" w14:textId="77777777" w:rsidR="001B2429" w:rsidRPr="00D010AC" w:rsidRDefault="001B2429" w:rsidP="00CB4C47">
            <w:pPr>
              <w:spacing w:afterLines="0" w:after="0"/>
              <w:jc w:val="center"/>
              <w:rPr>
                <w:rFonts w:ascii="Times New Roman" w:hAnsi="Times New Roman" w:cs="Times New Roman"/>
                <w:sz w:val="20"/>
                <w:szCs w:val="20"/>
                <w:highlight w:val="green"/>
                <w:lang w:val="fr-FR"/>
              </w:rPr>
            </w:pPr>
          </w:p>
        </w:tc>
        <w:tc>
          <w:tcPr>
            <w:tcW w:w="8550" w:type="dxa"/>
            <w:vAlign w:val="center"/>
          </w:tcPr>
          <w:p w14:paraId="4F989ECA" w14:textId="77777777" w:rsidR="001B2429" w:rsidRPr="00D010AC" w:rsidRDefault="001B2429" w:rsidP="00CB4C47">
            <w:pPr>
              <w:spacing w:afterLines="0" w:after="0"/>
              <w:rPr>
                <w:rFonts w:ascii="Times New Roman" w:hAnsi="Times New Roman" w:cs="Times New Roman"/>
                <w:sz w:val="20"/>
                <w:szCs w:val="20"/>
                <w:highlight w:val="green"/>
                <w:lang w:val="fr-FR"/>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TBD</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52C8A33F" w14:textId="3E9BEF90" w:rsidR="00370492" w:rsidRDefault="00370492" w:rsidP="001257C8">
      <w:pPr>
        <w:pStyle w:val="Line"/>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TBD</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D010AC" w:rsidRDefault="009762AF" w:rsidP="009762AF">
      <w:pPr>
        <w:spacing w:after="264"/>
        <w:ind w:left="1710" w:hanging="360"/>
        <w:rPr>
          <w:rFonts w:cs="Times New Roman"/>
          <w:bCs/>
          <w:szCs w:val="24"/>
          <w:lang w:val="es-ES"/>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w:t>
      </w:r>
      <w:proofErr w:type="spellStart"/>
      <w:r w:rsidRPr="00D010AC">
        <w:rPr>
          <w:rFonts w:cs="Times New Roman"/>
          <w:bCs/>
          <w:szCs w:val="24"/>
          <w:lang w:val="es-ES"/>
        </w:rPr>
        <w:t>Code</w:t>
      </w:r>
      <w:proofErr w:type="spellEnd"/>
      <w:r w:rsidRPr="00D010AC">
        <w:rPr>
          <w:rFonts w:cs="Times New Roman"/>
          <w:bCs/>
          <w:szCs w:val="24"/>
          <w:lang w:val="es-ES"/>
        </w:rPr>
        <w:t xml:space="preserve">, § 1354; </w:t>
      </w:r>
      <w:r w:rsidRPr="00D010AC">
        <w:rPr>
          <w:rFonts w:cs="Times New Roman"/>
          <w:bCs/>
          <w:i/>
          <w:iCs/>
          <w:szCs w:val="24"/>
          <w:lang w:val="es-ES"/>
        </w:rPr>
        <w:t xml:space="preserve">Villas De Las Palmas </w:t>
      </w:r>
      <w:proofErr w:type="spellStart"/>
      <w:r w:rsidRPr="00D010AC">
        <w:rPr>
          <w:rFonts w:cs="Times New Roman"/>
          <w:bCs/>
          <w:i/>
          <w:iCs/>
          <w:szCs w:val="24"/>
          <w:lang w:val="es-ES"/>
        </w:rPr>
        <w:t>Homeowners</w:t>
      </w:r>
      <w:proofErr w:type="spellEnd"/>
      <w:r w:rsidRPr="00D010AC">
        <w:rPr>
          <w:rFonts w:cs="Times New Roman"/>
          <w:bCs/>
          <w:i/>
          <w:iCs/>
          <w:szCs w:val="24"/>
          <w:lang w:val="es-ES"/>
        </w:rPr>
        <w:t xml:space="preserve"> </w:t>
      </w:r>
      <w:proofErr w:type="spellStart"/>
      <w:r w:rsidRPr="00D010AC">
        <w:rPr>
          <w:rFonts w:cs="Times New Roman"/>
          <w:bCs/>
          <w:i/>
          <w:iCs/>
          <w:szCs w:val="24"/>
          <w:lang w:val="es-ES"/>
        </w:rPr>
        <w:t>Ass’n</w:t>
      </w:r>
      <w:proofErr w:type="spellEnd"/>
      <w:r w:rsidRPr="00D010AC">
        <w:rPr>
          <w:rFonts w:cs="Times New Roman"/>
          <w:bCs/>
          <w:i/>
          <w:iCs/>
          <w:szCs w:val="24"/>
          <w:lang w:val="es-ES"/>
        </w:rPr>
        <w:t xml:space="preserve">. v. </w:t>
      </w:r>
      <w:proofErr w:type="spellStart"/>
      <w:r w:rsidRPr="00D010AC">
        <w:rPr>
          <w:rFonts w:cs="Times New Roman"/>
          <w:bCs/>
          <w:i/>
          <w:iCs/>
          <w:szCs w:val="24"/>
          <w:lang w:val="es-ES"/>
        </w:rPr>
        <w:t>Terifaj</w:t>
      </w:r>
      <w:proofErr w:type="spellEnd"/>
      <w:r w:rsidRPr="00D010AC">
        <w:rPr>
          <w:rFonts w:cs="Times New Roman"/>
          <w:bCs/>
          <w:szCs w:val="24"/>
          <w:lang w:val="es-ES"/>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bookmarkStart w:id="25" w:name="_Hlk131406768"/>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bookmarkStart w:id="32" w:name="_Hlk41032600"/>
    <w:bookmarkStart w:id="33" w:name="_Hlk130368841"/>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r>
        <w:rPr>
          <w:rFonts w:cs="Times New Roman"/>
          <w:bCs/>
          <w:szCs w:val="24"/>
        </w:rPr>
        <w:t>TBD</w:t>
      </w:r>
      <w:r w:rsidRPr="007E2199">
        <w:rPr>
          <w:rFonts w:cs="Times New Roman"/>
          <w:bCs/>
          <w:szCs w:val="24"/>
        </w:rPr>
        <w:t xml:space="preserve"> of the CC&amp;Rs specifically states that a violation of the CC&amp;Rs gives rise to a separate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42"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43" w:name="_Toc130368762"/>
      <w:r w:rsidRPr="00D536E3">
        <w:fldChar w:fldCharType="end"/>
      </w:r>
      <w:r w:rsidR="000B75CA">
        <w:br/>
      </w:r>
      <w:r w:rsidR="00DD2768" w:rsidRPr="00A66858">
        <w:t>POTENTIAL AFFIRMATIVE DEFENSES</w:t>
      </w:r>
      <w:bookmarkEnd w:id="143"/>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6" w:name="_Toc130368764"/>
      <w:r w:rsidRPr="00274E8F">
        <w:fldChar w:fldCharType="end"/>
      </w:r>
      <w:r w:rsidR="009B5213">
        <w:br/>
      </w:r>
      <w:r>
        <w:t>Statute of Limitations</w:t>
      </w:r>
      <w:bookmarkEnd w:id="146"/>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7" w:name="_Toc130368765"/>
      <w:r w:rsidRPr="00274E8F">
        <w:fldChar w:fldCharType="end"/>
      </w:r>
      <w:r w:rsidR="009B5213">
        <w:br/>
      </w:r>
      <w:r>
        <w:t>Equitable Estoppel</w:t>
      </w:r>
      <w:bookmarkEnd w:id="147"/>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8" w:name="_Toc130368766"/>
      <w:r w:rsidRPr="00274E8F">
        <w:fldChar w:fldCharType="end"/>
      </w:r>
      <w:r w:rsidR="009B5213">
        <w:br/>
      </w:r>
      <w:r>
        <w:t>Unclean Hands</w:t>
      </w:r>
      <w:bookmarkEnd w:id="148"/>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9" w:name="_Toc130368767"/>
      <w:r w:rsidRPr="00274E8F">
        <w:fldChar w:fldCharType="end"/>
      </w:r>
      <w:r w:rsidR="009B5213">
        <w:br/>
      </w:r>
      <w:r>
        <w:t>Laches</w:t>
      </w:r>
      <w:bookmarkEnd w:id="149"/>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50"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50"/>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72" w:name="_Toc130368788"/>
      <w:r w:rsidRPr="00274E8F">
        <w:fldChar w:fldCharType="end"/>
      </w:r>
      <w:r w:rsidR="009B5213">
        <w:br/>
      </w:r>
      <w:r>
        <w:t>Waiver</w:t>
      </w:r>
      <w:bookmarkEnd w:id="172"/>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73" w:name="_Toc130368789"/>
      <w:r w:rsidRPr="00274E8F">
        <w:fldChar w:fldCharType="end"/>
      </w:r>
      <w:r w:rsidR="002970B7">
        <w:br/>
      </w:r>
      <w:r>
        <w:t>Failure to Mitigate</w:t>
      </w:r>
      <w:bookmarkEnd w:id="173"/>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4" w:name="_Toc130368790"/>
      <w:r w:rsidRPr="00274E8F">
        <w:fldChar w:fldCharType="end"/>
      </w:r>
      <w:r w:rsidR="002970B7">
        <w:br/>
      </w:r>
      <w:r>
        <w:t>Lack of Damages</w:t>
      </w:r>
      <w:bookmarkEnd w:id="174"/>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5" w:name="_Toc130368791"/>
      <w:r w:rsidRPr="00274E8F">
        <w:fldChar w:fldCharType="end"/>
      </w:r>
      <w:r w:rsidR="002970B7">
        <w:br/>
      </w:r>
      <w:r>
        <w:t>Failure to State a Claim</w:t>
      </w:r>
      <w:bookmarkEnd w:id="175"/>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2"/>
      <w:r w:rsidRPr="00274E8F">
        <w:fldChar w:fldCharType="end"/>
      </w:r>
      <w:r w:rsidR="002970B7">
        <w:br/>
      </w:r>
      <w:r>
        <w:t>No Causation</w:t>
      </w:r>
      <w:bookmarkEnd w:id="176"/>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7" w:name="_Toc130368793"/>
      <w:r w:rsidRPr="00274E8F">
        <w:fldChar w:fldCharType="end"/>
      </w:r>
      <w:r w:rsidR="002970B7">
        <w:br/>
      </w:r>
      <w:r>
        <w:t>Justification</w:t>
      </w:r>
      <w:bookmarkEnd w:id="177"/>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8"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8"/>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9" w:name="_Toc130368794"/>
      <w:r w:rsidRPr="00274E8F">
        <w:fldChar w:fldCharType="end"/>
      </w:r>
      <w:r w:rsidR="002970B7">
        <w:br/>
      </w:r>
      <w:r>
        <w:t>Ratification</w:t>
      </w:r>
      <w:bookmarkEnd w:id="179"/>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80"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80"/>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82" w:name="_Toc130368796"/>
      <w:r w:rsidRPr="00274E8F">
        <w:fldChar w:fldCharType="end"/>
      </w:r>
      <w:r w:rsidR="002970B7">
        <w:br/>
      </w:r>
      <w:r>
        <w:t>Consent</w:t>
      </w:r>
      <w:bookmarkEnd w:id="182"/>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6" w:name="_Toc130368800"/>
      <w:r w:rsidRPr="00020852">
        <w:fldChar w:fldCharType="end"/>
      </w:r>
      <w:r w:rsidR="002970B7">
        <w:br/>
      </w:r>
      <w:r w:rsidR="00B77716" w:rsidRPr="00020852">
        <w:t>STRATEGIC CONSIDERATIONS</w:t>
      </w:r>
      <w:bookmarkEnd w:id="186"/>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7" w:name="_Toc53565571"/>
      <w:bookmarkStart w:id="188" w:name="_Toc130368801"/>
      <w:r w:rsidRPr="002F7882">
        <w:rPr>
          <w:color w:val="C00000"/>
        </w:rPr>
        <w:fldChar w:fldCharType="end"/>
      </w:r>
      <w:r w:rsidRPr="002F7882">
        <w:rPr>
          <w:color w:val="C00000"/>
        </w:rPr>
        <w:br/>
        <w:t>Statute of Limitations</w:t>
      </w:r>
      <w:bookmarkEnd w:id="187"/>
      <w:bookmarkEnd w:id="188"/>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r>
        <w:rPr>
          <w:rFonts w:cs="Times New Roman"/>
          <w:b/>
          <w:bCs/>
          <w:color w:val="C00000"/>
          <w:szCs w:val="24"/>
          <w:u w:val="single"/>
        </w:rPr>
        <w:t>TBD</w:t>
      </w:r>
      <w:r>
        <w:t>.</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9" w:name="_Toc130368802"/>
      <w:r w:rsidRPr="00020852">
        <w:fldChar w:fldCharType="end"/>
      </w:r>
      <w:r w:rsidR="002970B7">
        <w:br/>
      </w:r>
      <w:r w:rsidRPr="00020852">
        <w:t>Applicability of Davis-Stirling Act</w:t>
      </w:r>
      <w:bookmarkEnd w:id="18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90" w:name="_Toc130368803"/>
      <w:r w:rsidRPr="00020852">
        <w:fldChar w:fldCharType="end"/>
      </w:r>
      <w:r w:rsidR="002970B7">
        <w:br/>
      </w:r>
      <w:r w:rsidR="00184ADF" w:rsidRPr="00020852">
        <w:t>Jurisdiction</w:t>
      </w:r>
      <w:bookmarkEnd w:id="19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91" w:name="_Toc130368804"/>
      <w:r w:rsidRPr="00020852">
        <w:fldChar w:fldCharType="end"/>
      </w:r>
      <w:r w:rsidR="002970B7">
        <w:br/>
      </w:r>
      <w:r w:rsidR="00C53B37" w:rsidRPr="00020852">
        <w:t>Arbitration</w:t>
      </w:r>
      <w:bookmarkEnd w:id="191"/>
    </w:p>
    <w:bookmarkStart w:id="192" w:name="_Hlk53658305"/>
    <w:p w14:paraId="306FC814" w14:textId="354137E4" w:rsidR="00745226" w:rsidRDefault="00C53B37" w:rsidP="00C53B37">
      <w:pPr>
        <w:spacing w:after="264"/>
        <w:rPr>
          <w:rFonts w:cs="Times New Roman"/>
          <w:bCs/>
          <w:szCs w:val="24"/>
        </w:rPr>
      </w:pPr>
      <w:bookmarkStart w:id="195" w:name="_Hlk41900374"/>
      <w:bookmarkStart w:id="196" w:name="_Hlk41900647"/>
      <w:r w:rsidRPr="00020852">
        <w:rPr>
          <w:rFonts w:cs="Times New Roman"/>
          <w:bCs/>
          <w:szCs w:val="24"/>
        </w:rPr>
        <w:t xml:space="preserve">Since there is no binding arbitration provision in the CC&amp;Rs, any litigation related to the dispute must take place in </w:t>
      </w:r>
      <w:bookmarkEnd w:id="195"/>
      <w:r w:rsidR="00702005" w:rsidRPr="00020852">
        <w:rPr>
          <w:rFonts w:cs="Times New Roman"/>
          <w:bCs/>
          <w:szCs w:val="24"/>
        </w:rPr>
        <w:t xml:space="preserve">the superior court of </w:t>
      </w:r>
      <w:r>
        <w:rPr>
          <w:rFonts w:cs="Times New Roman"/>
          <w:szCs w:val="24"/>
        </w:rPr>
        <w:t>Los Angeles</w:t>
      </w:r>
      <w:r w:rsidR="00702005" w:rsidRPr="00020852">
        <w:rPr>
          <w:rFonts w:cs="Times New Roman"/>
          <w:bCs/>
          <w:szCs w:val="24"/>
        </w:rPr>
        <w:t xml:space="preserve"> County because that is where Client’s property is located.</w:t>
      </w:r>
      <w:bookmarkEnd w:id="196"/>
      <w:r w:rsidRPr="00020852">
        <w:rPr>
          <w:rFonts w:cs="Times New Roman"/>
          <w:bCs/>
          <w:szCs w:val="24"/>
        </w:rPr>
        <w:t xml:space="preserve">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7" w:name="_Toc130368805"/>
      <w:r w:rsidRPr="00020852">
        <w:fldChar w:fldCharType="end"/>
      </w:r>
      <w:r w:rsidR="002970B7">
        <w:br/>
      </w:r>
      <w:bookmarkEnd w:id="197"/>
      <w:r w:rsidR="007A188C">
        <w:t>Venue</w:t>
      </w:r>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Los Angeles</w:t>
      </w:r>
      <w:r w:rsidRPr="00020852">
        <w:rPr>
          <w:rFonts w:cs="Times New Roman"/>
        </w:rPr>
        <w:t xml:space="preserve"> County, </w:t>
      </w:r>
      <w:r w:rsidR="001F0D6C">
        <w:rPr>
          <w:rFonts w:cs="Times New Roman"/>
        </w:rPr>
        <w:t xml:space="preserve">that is the appropriate venue for this case.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9" w:name="_Toc130368807"/>
      <w:r w:rsidRPr="00020852">
        <w:fldChar w:fldCharType="end"/>
      </w:r>
      <w:r>
        <w:br/>
        <w:t>Standing</w:t>
      </w:r>
      <w:bookmarkEnd w:id="199"/>
    </w:p>
    <w:bookmarkStart w:id="200" w:name="_Hlk43282553"/>
    <w:bookmarkStart w:id="201" w:name="_Hlk43294078"/>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203" w:name="_Toc130368808"/>
      <w:r w:rsidRPr="00020852">
        <w:fldChar w:fldCharType="end"/>
      </w:r>
      <w:r w:rsidR="002970B7">
        <w:br/>
      </w:r>
      <w:r w:rsidRPr="00020852">
        <w:t>Anti-SLAPP Analysis</w:t>
      </w:r>
      <w:bookmarkEnd w:id="20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8" w:name="_Toc130368809"/>
      <w:r w:rsidRPr="00020852">
        <w:fldChar w:fldCharType="end"/>
      </w:r>
      <w:r>
        <w:br/>
      </w:r>
      <w:r w:rsidRPr="00020852">
        <w:t>Pre-Filing Requirements</w:t>
      </w:r>
      <w:bookmarkEnd w:id="218"/>
      <w:r w:rsidR="00E24072">
        <w:br/>
        <w:t>(e.g., Notice or Mediation Requirements)</w:t>
      </w:r>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bookmarkStart w:id="219" w:name="_Hlk130541436"/>
    <w:p w14:paraId="58FB08BB" w14:textId="77777777" w:rsidR="00A35502" w:rsidRDefault="00A35502" w:rsidP="00A35502">
      <w:pPr>
        <w:pStyle w:val="Heading2"/>
      </w:pPr>
      <w:r w:rsidRPr="00020852">
        <w:fldChar w:fldCharType="begin"/>
      </w:r>
      <w:r w:rsidRPr="00020852">
        <w:instrText xml:space="preserve"> LISTNUM LegalDefault \l 2 </w:instrText>
      </w:r>
      <w:bookmarkStart w:id="222" w:name="_Toc130368810"/>
      <w:r w:rsidRPr="00020852">
        <w:fldChar w:fldCharType="end"/>
      </w:r>
      <w:r>
        <w:br/>
      </w:r>
      <w:r w:rsidRPr="00020852">
        <w:t>Attorneys’ Fees and Costs</w:t>
      </w:r>
      <w:bookmarkEnd w:id="222"/>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r>
        <w:t>TBD</w:t>
      </w:r>
      <w:r w:rsidR="00A35502" w:rsidRPr="00020852">
        <w:t xml:space="preserve"> of the CC&amp;Rs.</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6"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6"/>
    </w:p>
    <w:p w14:paraId="0E7FD39D" w14:textId="5CB84CD9" w:rsidR="0057244F" w:rsidRDefault="0008557E" w:rsidP="00ED253D">
      <w:pPr>
        <w:spacing w:after="264"/>
      </w:pPr>
      <w:r>
        <w:t>TBD</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5"/>
    </w:p>
    <w:p w14:paraId="5828B9B5" w14:textId="61325DEF" w:rsidR="00187D06" w:rsidRDefault="002A00E7" w:rsidP="001257C8">
      <w:pPr>
        <w:pStyle w:val="Line"/>
      </w:pPr>
      <w:bookmarkStart w:id="227" w:name="_Hlk43439444"/>
      <w:r w:rsidRPr="005C5314">
        <w:t>________________________________</w:t>
      </w:r>
      <w:bookmarkEnd w:id="227"/>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1F03" w14:textId="77777777" w:rsidR="009235D3" w:rsidRDefault="009235D3" w:rsidP="007B1C23">
      <w:pPr>
        <w:spacing w:after="264"/>
      </w:pPr>
      <w:r>
        <w:separator/>
      </w:r>
    </w:p>
    <w:p w14:paraId="5D4C9A1E" w14:textId="77777777" w:rsidR="009235D3" w:rsidRDefault="009235D3">
      <w:pPr>
        <w:spacing w:after="264"/>
      </w:pPr>
    </w:p>
  </w:endnote>
  <w:endnote w:type="continuationSeparator" w:id="0">
    <w:p w14:paraId="3B2E85DF" w14:textId="77777777" w:rsidR="009235D3" w:rsidRDefault="009235D3" w:rsidP="007B1C23">
      <w:pPr>
        <w:spacing w:after="264"/>
      </w:pPr>
      <w:r>
        <w:continuationSeparator/>
      </w:r>
    </w:p>
    <w:p w14:paraId="02D296D4" w14:textId="77777777" w:rsidR="009235D3" w:rsidRDefault="009235D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08557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Bedford Parc HOA v. Priestley</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7E123" w14:textId="77777777" w:rsidR="009235D3" w:rsidRDefault="009235D3" w:rsidP="007B1C23">
      <w:pPr>
        <w:spacing w:after="264"/>
      </w:pPr>
      <w:r>
        <w:separator/>
      </w:r>
    </w:p>
    <w:p w14:paraId="6D84AAFE" w14:textId="77777777" w:rsidR="009235D3" w:rsidRDefault="009235D3">
      <w:pPr>
        <w:spacing w:after="264"/>
      </w:pPr>
    </w:p>
  </w:footnote>
  <w:footnote w:type="continuationSeparator" w:id="0">
    <w:p w14:paraId="53811D9E" w14:textId="77777777" w:rsidR="009235D3" w:rsidRDefault="009235D3" w:rsidP="007B1C23">
      <w:pPr>
        <w:spacing w:after="264"/>
      </w:pPr>
      <w:r>
        <w:continuationSeparator/>
      </w:r>
    </w:p>
    <w:p w14:paraId="1B5A23F2" w14:textId="77777777" w:rsidR="009235D3" w:rsidRDefault="009235D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0D2B"/>
    <w:rsid w:val="00051D6A"/>
    <w:rsid w:val="000542BD"/>
    <w:rsid w:val="000558C8"/>
    <w:rsid w:val="00055ED1"/>
    <w:rsid w:val="00060AFC"/>
    <w:rsid w:val="000611D4"/>
    <w:rsid w:val="00062493"/>
    <w:rsid w:val="000769AF"/>
    <w:rsid w:val="000813C7"/>
    <w:rsid w:val="00081DB0"/>
    <w:rsid w:val="000831F8"/>
    <w:rsid w:val="0008443D"/>
    <w:rsid w:val="00084AC4"/>
    <w:rsid w:val="0008557E"/>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CE0"/>
    <w:rsid w:val="00136DD5"/>
    <w:rsid w:val="0013715C"/>
    <w:rsid w:val="0013769B"/>
    <w:rsid w:val="00142519"/>
    <w:rsid w:val="001436AB"/>
    <w:rsid w:val="001447D7"/>
    <w:rsid w:val="00146123"/>
    <w:rsid w:val="0015453B"/>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60DF"/>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0FF6"/>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2F6"/>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D6C1F"/>
    <w:rsid w:val="003E431D"/>
    <w:rsid w:val="003E50AD"/>
    <w:rsid w:val="003F0761"/>
    <w:rsid w:val="003F3DB0"/>
    <w:rsid w:val="003F541C"/>
    <w:rsid w:val="003F54B5"/>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311"/>
    <w:rsid w:val="0046389B"/>
    <w:rsid w:val="00463FCC"/>
    <w:rsid w:val="004645FC"/>
    <w:rsid w:val="0046481D"/>
    <w:rsid w:val="004664DA"/>
    <w:rsid w:val="0046733B"/>
    <w:rsid w:val="0047013B"/>
    <w:rsid w:val="004709D6"/>
    <w:rsid w:val="00474AEE"/>
    <w:rsid w:val="00481FFA"/>
    <w:rsid w:val="0048256E"/>
    <w:rsid w:val="00482A27"/>
    <w:rsid w:val="00486BA7"/>
    <w:rsid w:val="00487CEE"/>
    <w:rsid w:val="004900FA"/>
    <w:rsid w:val="0049077D"/>
    <w:rsid w:val="00490D5D"/>
    <w:rsid w:val="00497350"/>
    <w:rsid w:val="004A0B64"/>
    <w:rsid w:val="004A2E71"/>
    <w:rsid w:val="004A6EF6"/>
    <w:rsid w:val="004A7356"/>
    <w:rsid w:val="004C131C"/>
    <w:rsid w:val="004C3C0D"/>
    <w:rsid w:val="004C4FE9"/>
    <w:rsid w:val="004C6B67"/>
    <w:rsid w:val="004D0470"/>
    <w:rsid w:val="004D394F"/>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1630"/>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08C0"/>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90C"/>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35D3"/>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16"/>
    <w:rsid w:val="00A042E1"/>
    <w:rsid w:val="00A076BA"/>
    <w:rsid w:val="00A1025D"/>
    <w:rsid w:val="00A11269"/>
    <w:rsid w:val="00A134AB"/>
    <w:rsid w:val="00A139DF"/>
    <w:rsid w:val="00A32791"/>
    <w:rsid w:val="00A33F07"/>
    <w:rsid w:val="00A35502"/>
    <w:rsid w:val="00A35883"/>
    <w:rsid w:val="00A406C4"/>
    <w:rsid w:val="00A4178E"/>
    <w:rsid w:val="00A440D4"/>
    <w:rsid w:val="00A4621C"/>
    <w:rsid w:val="00A471FE"/>
    <w:rsid w:val="00A51004"/>
    <w:rsid w:val="00A510F2"/>
    <w:rsid w:val="00A53490"/>
    <w:rsid w:val="00A54145"/>
    <w:rsid w:val="00A549A0"/>
    <w:rsid w:val="00A559FB"/>
    <w:rsid w:val="00A64958"/>
    <w:rsid w:val="00A66DB7"/>
    <w:rsid w:val="00A67294"/>
    <w:rsid w:val="00A70139"/>
    <w:rsid w:val="00A70425"/>
    <w:rsid w:val="00A70D9A"/>
    <w:rsid w:val="00A72563"/>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16E7"/>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C2B4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10AC"/>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076C"/>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350E0"/>
    <w:rsid w:val="00E447DB"/>
    <w:rsid w:val="00E44BC7"/>
    <w:rsid w:val="00E452CF"/>
    <w:rsid w:val="00E54374"/>
    <w:rsid w:val="00E606EA"/>
    <w:rsid w:val="00E62227"/>
    <w:rsid w:val="00E65369"/>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5F0B"/>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68A"/>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02A7B"/>
    <w:rsid w:val="00112554"/>
    <w:rsid w:val="00126DC0"/>
    <w:rsid w:val="001317CF"/>
    <w:rsid w:val="00163719"/>
    <w:rsid w:val="001719C6"/>
    <w:rsid w:val="00190793"/>
    <w:rsid w:val="001A3FA2"/>
    <w:rsid w:val="001A5DF3"/>
    <w:rsid w:val="002360DF"/>
    <w:rsid w:val="00262515"/>
    <w:rsid w:val="002F6ED1"/>
    <w:rsid w:val="00326639"/>
    <w:rsid w:val="003415D7"/>
    <w:rsid w:val="00351FD7"/>
    <w:rsid w:val="0035381E"/>
    <w:rsid w:val="00390A84"/>
    <w:rsid w:val="003F4E05"/>
    <w:rsid w:val="003F590F"/>
    <w:rsid w:val="00435FA7"/>
    <w:rsid w:val="00485A7A"/>
    <w:rsid w:val="004B3C09"/>
    <w:rsid w:val="00527F83"/>
    <w:rsid w:val="00552E60"/>
    <w:rsid w:val="00554C11"/>
    <w:rsid w:val="005A2CCB"/>
    <w:rsid w:val="006018F9"/>
    <w:rsid w:val="00700325"/>
    <w:rsid w:val="00731857"/>
    <w:rsid w:val="00763FBF"/>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A1A68"/>
    <w:rsid w:val="00EA300B"/>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4"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190</Pages>
  <Words>56197</Words>
  <Characters>320325</Characters>
  <Application>Microsoft Office Word</Application>
  <DocSecurity>0</DocSecurity>
  <Lines>2669</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454</cp:revision>
  <cp:lastPrinted>2019-02-13T22:26:00Z</cp:lastPrinted>
  <dcterms:created xsi:type="dcterms:W3CDTF">2020-06-05T18:10:00Z</dcterms:created>
  <dcterms:modified xsi:type="dcterms:W3CDTF">2024-06-04T17:48:00Z</dcterms:modified>
</cp:coreProperties>
</file>