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Park Estates Manor v. Son</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SE</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
          Client has owned the real property located at 5390 E. Oleta Street, Unit 4, Long Beach, CA 90815 (the "Property") since 2021. Until last year, Client resided at the Property. The Property is currently being rented, and a tenant occupies the residence.
          <w:br/>
          <w:br/>
          Beginning in or around 2025, the downstairs neighbor, who is also a board member, complained of alleged noise nuisance. The prior owner installed hardwood flooring without HOA approval. Client was unaware of this at the time of the purchase and sale transaction.
          <w:br/>
          <w:br/>
          Client’s tenant contends that one of the reasons she chose to rent the Property was because it did not have carpet, as her child has special needs. The tenant has placed area rugs throughout the unit in an effort to minimize sound transmission to the unit below. Based on complaints made by the board member residing below the Property, the HOA served a demand for alternative dispute resolution ("ADR") on Client.
          <w:br/>
          <w:br/>
          While Client is open to replacing the flooring with carpet, he is concerned about his current tenant and seeks to assess his rights at the upcoming Mediation.
        </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E14AB1" w:rsidRPr="007C6F41" w14:paraId="30D0350C" w14:textId="77777777" w:rsidTr="00F53050">
        <w:trPr>
          <w:trHeight w:val="863"/>
        </w:trPr>
        <w:tc>
          <w:tcPr>
            <w:tcW w:w="5215" w:type="dxa"/>
            <w:shd w:val="clear" w:color="auto" w:fill="BDD6EE" w:themeFill="accent1" w:themeFillTint="66"/>
            <w:vAlign w:val="center"/>
          </w:tcPr>
          <w:p w14:paraId="5A1AA085" w14:textId="77777777" w:rsidR="00E14AB1" w:rsidRPr="007C6F41" w:rsidRDefault="00E14AB1" w:rsidP="00EF2457">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45B7A20A" w14:textId="22618157" w:rsidR="00E14AB1" w:rsidRPr="007C6F41" w:rsidRDefault="00B71E52" w:rsidP="00EF2457">
            <w:pPr>
              <w:spacing w:afterLines="0" w:after="0"/>
              <w:rPr>
                <w:rFonts w:cs="Times New Roman"/>
                <w:b/>
              </w:rPr>
            </w:pPr>
            <w:r w:rsidRPr="007C6F41">
              <w:rPr>
                <w:rFonts w:cs="Times New Roman"/>
                <w:b/>
              </w:rPr>
              <w:t>Significance to Underlying Matter/Dispute</w:t>
            </w:r>
          </w:p>
        </w:tc>
      </w:tr>
      <w:tr w:rsidR="00E14AB1" w:rsidRPr="007C6F41" w14:paraId="4DD5AE3B" w14:textId="77777777" w:rsidTr="00964F25">
        <w:tc>
          <w:tcPr>
            <w:tcW w:w="5215" w:type="dxa"/>
            <w:vAlign w:val="center"/>
          </w:tcPr>
          <w:p w14:paraId="2F5AFB95" w14:textId="0732B42D" w:rsidR="00E14AB1" w:rsidRPr="007C6F41" w:rsidRDefault="00D41496" w:rsidP="00EF2457">
            <w:pPr>
              <w:spacing w:afterLines="0" w:after="0"/>
              <w:rPr>
                <w:rFonts w:cs="Times New Roman"/>
                <w:sz w:val="20"/>
                <w:szCs w:val="20"/>
              </w:rPr>
            </w:pPr>
            <w:r>
              <w:rPr>
                <w:rFonts w:cs="Times New Roman"/>
                <w:sz w:val="20"/>
                <w:szCs w:val="20"/>
              </w:rPr>
              <w:t>Saret Son</w:t>
            </w:r>
            <w:r w:rsidR="006C37BD">
              <w:rPr>
                <w:rFonts w:cs="Times New Roman"/>
                <w:sz w:val="20"/>
                <w:szCs w:val="20"/>
              </w:rPr>
              <w:t xml:space="preserve"> (“Client”)</w:t>
            </w:r>
          </w:p>
        </w:tc>
        <w:tc>
          <w:tcPr>
            <w:tcW w:w="5490" w:type="dxa"/>
            <w:vAlign w:val="center"/>
          </w:tcPr>
          <w:p w14:paraId="236B2E1F" w14:textId="529B61D7" w:rsidR="00EC6A14" w:rsidRPr="007C6F41" w:rsidRDefault="006C37BD" w:rsidP="00EF2457">
            <w:pPr>
              <w:spacing w:afterLines="0" w:after="0"/>
              <w:rPr>
                <w:rFonts w:cs="Times New Roman"/>
                <w:sz w:val="20"/>
                <w:szCs w:val="20"/>
              </w:rPr>
            </w:pPr>
            <w:r>
              <w:rPr>
                <w:rFonts w:cs="Times New Roman"/>
                <w:sz w:val="20"/>
                <w:szCs w:val="20"/>
              </w:rPr>
              <w:t xml:space="preserve"> </w:t>
            </w:r>
          </w:p>
          <w:p w14:paraId="6DEE4A35" w14:textId="2BD30692" w:rsidR="00E14AB1" w:rsidRPr="007C6F41" w:rsidRDefault="00E14AB1" w:rsidP="00EF2457">
            <w:pPr>
              <w:spacing w:afterLines="0" w:after="0"/>
              <w:rPr>
                <w:rFonts w:cs="Times New Roman"/>
                <w:sz w:val="20"/>
                <w:szCs w:val="20"/>
              </w:rPr>
            </w:pPr>
            <w:r w:rsidRPr="007C6F41">
              <w:rPr>
                <w:rFonts w:cs="Times New Roman"/>
                <w:sz w:val="20"/>
                <w:szCs w:val="20"/>
              </w:rPr>
              <w:t>Client / HOA Member</w:t>
            </w:r>
          </w:p>
          <w:p w14:paraId="50725939" w14:textId="67096180" w:rsidR="004D6471" w:rsidRPr="007C6F41" w:rsidRDefault="004D6471" w:rsidP="00EF2457">
            <w:pPr>
              <w:spacing w:afterLines="0" w:after="0"/>
              <w:rPr>
                <w:rFonts w:cs="Times New Roman"/>
                <w:sz w:val="20"/>
                <w:szCs w:val="20"/>
              </w:rPr>
            </w:pPr>
          </w:p>
        </w:tc>
      </w:tr>
      <w:tr w:rsidR="000375D2" w:rsidRPr="007C6F41" w14:paraId="18B56964" w14:textId="77777777" w:rsidTr="00964F25">
        <w:tc>
          <w:tcPr>
            <w:tcW w:w="5215" w:type="dxa"/>
            <w:vAlign w:val="center"/>
          </w:tcPr>
          <w:p w14:paraId="4D977C58" w14:textId="6D7BAC66" w:rsidR="000375D2" w:rsidRPr="007C6F41" w:rsidRDefault="00D41496" w:rsidP="00EF2457">
            <w:pPr>
              <w:spacing w:afterLines="0" w:after="0"/>
              <w:rPr>
                <w:rFonts w:cs="Times New Roman"/>
                <w:sz w:val="20"/>
                <w:szCs w:val="20"/>
              </w:rPr>
            </w:pPr>
            <w:r>
              <w:rPr>
                <w:rFonts w:cs="Times New Roman"/>
                <w:sz w:val="20"/>
                <w:szCs w:val="20"/>
              </w:rPr>
              <w:t>Park Estates Manor, Inc. ("HOA")</w:t>
            </w:r>
          </w:p>
        </w:tc>
        <w:tc>
          <w:tcPr>
            <w:tcW w:w="5490" w:type="dxa"/>
            <w:vAlign w:val="center"/>
          </w:tcPr>
          <w:p w14:paraId="4915B2A1" w14:textId="77777777" w:rsidR="00EC6A14" w:rsidRPr="007C6F41" w:rsidRDefault="00EC6A14" w:rsidP="00EF2457">
            <w:pPr>
              <w:spacing w:afterLines="0" w:after="0"/>
              <w:rPr>
                <w:rFonts w:cs="Times New Roman"/>
                <w:sz w:val="20"/>
                <w:szCs w:val="20"/>
              </w:rPr>
            </w:pPr>
          </w:p>
          <w:p w14:paraId="7DE41C26" w14:textId="21CFC3D2" w:rsidR="000375D2" w:rsidRPr="007C6F41" w:rsidRDefault="00D41496" w:rsidP="00EF2457">
            <w:pPr>
              <w:spacing w:afterLines="0" w:after="0"/>
              <w:rPr>
                <w:rFonts w:cs="Times New Roman"/>
                <w:sz w:val="20"/>
                <w:szCs w:val="20"/>
              </w:rPr>
            </w:pPr>
            <w:r>
              <w:rPr>
                <w:rFonts w:cs="Times New Roman"/>
                <w:sz w:val="20"/>
                <w:szCs w:val="20"/>
              </w:rPr>
              <w:t>HOA</w:t>
            </w:r>
          </w:p>
          <w:p w14:paraId="478A1E33" w14:textId="69A1C3DE" w:rsidR="004D6471" w:rsidRPr="007C6F41" w:rsidRDefault="004D6471" w:rsidP="00EF2457">
            <w:pPr>
              <w:spacing w:afterLines="0" w:after="0"/>
              <w:rPr>
                <w:rFonts w:cs="Times New Roman"/>
                <w:sz w:val="20"/>
                <w:szCs w:val="20"/>
              </w:rPr>
            </w:pPr>
          </w:p>
        </w:tc>
      </w:tr>
      <w:tr w:rsidR="000375D2" w:rsidRPr="007C6F41" w14:paraId="7F18E30E" w14:textId="77777777" w:rsidTr="00964F25">
        <w:tc>
          <w:tcPr>
            <w:tcW w:w="5215" w:type="dxa"/>
            <w:vAlign w:val="center"/>
          </w:tcPr>
          <w:p w14:paraId="06949F07" w14:textId="29FE541B" w:rsidR="000375D2" w:rsidRPr="007C6F41" w:rsidRDefault="00D41496" w:rsidP="00EF2457">
            <w:pPr>
              <w:spacing w:afterLines="0" w:after="0"/>
              <w:rPr>
                <w:rFonts w:cs="Times New Roman"/>
                <w:sz w:val="20"/>
                <w:szCs w:val="20"/>
              </w:rPr>
            </w:pPr>
            <w:r>
              <w:rPr>
                <w:rFonts w:cs="Times New Roman"/>
                <w:sz w:val="20"/>
                <w:szCs w:val="20"/>
              </w:rPr>
              <w:t>Saman "Sam" Pezeshki ("Mr. Pezeshki")</w:t>
            </w:r>
          </w:p>
        </w:tc>
        <w:tc>
          <w:tcPr>
            <w:tcW w:w="5490" w:type="dxa"/>
            <w:vAlign w:val="center"/>
          </w:tcPr>
          <w:p w14:paraId="29255B8B" w14:textId="77777777" w:rsidR="00EC6A14" w:rsidRPr="007C6F41" w:rsidRDefault="00EC6A14" w:rsidP="00EF2457">
            <w:pPr>
              <w:spacing w:afterLines="0" w:after="0"/>
              <w:rPr>
                <w:rFonts w:cs="Times New Roman"/>
                <w:sz w:val="20"/>
                <w:szCs w:val="20"/>
              </w:rPr>
            </w:pPr>
          </w:p>
          <w:p w14:paraId="5E5B81DB" w14:textId="0FC786B4" w:rsidR="000375D2" w:rsidRPr="007C6F41" w:rsidRDefault="00D41496" w:rsidP="00EF2457">
            <w:pPr>
              <w:spacing w:afterLines="0" w:after="0"/>
              <w:rPr>
                <w:rFonts w:cs="Times New Roman"/>
                <w:sz w:val="20"/>
                <w:szCs w:val="20"/>
              </w:rPr>
            </w:pPr>
            <w:r>
              <w:rPr>
                <w:rFonts w:cs="Times New Roman"/>
                <w:sz w:val="20"/>
                <w:szCs w:val="20"/>
              </w:rPr>
              <w:t>Neighbor</w:t>
            </w:r>
          </w:p>
          <w:p w14:paraId="0EA5862B" w14:textId="7E13F2EE" w:rsidR="004D6471" w:rsidRPr="007C6F41" w:rsidRDefault="004D6471" w:rsidP="00EF2457">
            <w:pPr>
              <w:spacing w:afterLines="0" w:after="0"/>
              <w:rPr>
                <w:rFonts w:cs="Times New Roman"/>
                <w:sz w:val="20"/>
                <w:szCs w:val="20"/>
              </w:rPr>
            </w:pPr>
          </w:p>
        </w:tc>
      </w:tr>
      <w:tr w:rsidR="00E4074A" w:rsidRPr="0076627F" w14:paraId="615EE147" w14:textId="77777777" w:rsidTr="00964F25">
        <w:tc>
          <w:tcPr>
            <w:tcW w:w="5215" w:type="dxa"/>
            <w:vAlign w:val="center"/>
          </w:tcPr>
          <w:p w14:paraId="25DD17C5" w14:textId="77777777" w:rsidR="00EC6A14" w:rsidRPr="007C6F41" w:rsidRDefault="00EC6A14" w:rsidP="00EF2457">
            <w:pPr>
              <w:spacing w:afterLines="0" w:after="0"/>
              <w:rPr>
                <w:rFonts w:cs="Times New Roman"/>
                <w:sz w:val="20"/>
                <w:szCs w:val="20"/>
              </w:rPr>
            </w:pPr>
          </w:p>
          <w:p w14:paraId="12C3422C" w14:textId="351B4E94" w:rsidR="00E4074A" w:rsidRPr="007C6F41" w:rsidRDefault="00D41496" w:rsidP="00EF2457">
            <w:pPr>
              <w:spacing w:afterLines="0" w:after="0"/>
              <w:rPr>
                <w:rFonts w:cs="Times New Roman"/>
                <w:sz w:val="20"/>
                <w:szCs w:val="20"/>
              </w:rPr>
            </w:pPr>
            <w:r>
              <w:rPr>
                <w:rFonts w:cs="Times New Roman"/>
                <w:sz w:val="20"/>
                <w:szCs w:val="20"/>
              </w:rPr>
              <w:t>Jeff Hall ("Mr. Hall")</w:t>
            </w:r>
          </w:p>
          <w:p w14:paraId="7EFC78F0" w14:textId="634CC234" w:rsidR="00EC6A14" w:rsidRPr="007C6F41" w:rsidRDefault="00EC6A14" w:rsidP="00EF2457">
            <w:pPr>
              <w:spacing w:afterLines="0" w:after="0"/>
              <w:rPr>
                <w:rFonts w:cs="Times New Roman"/>
                <w:sz w:val="20"/>
                <w:szCs w:val="20"/>
              </w:rPr>
            </w:pPr>
          </w:p>
        </w:tc>
        <w:tc>
          <w:tcPr>
            <w:tcW w:w="5490" w:type="dxa"/>
            <w:vAlign w:val="center"/>
          </w:tcPr>
          <w:p w14:paraId="5889FE11" w14:textId="063ACCBC" w:rsidR="00BE557F" w:rsidRDefault="00BE557F" w:rsidP="00EF2457">
            <w:pPr>
              <w:spacing w:afterLines="0" w:after="0"/>
              <w:rPr>
                <w:rFonts w:cs="Times New Roman"/>
                <w:sz w:val="20"/>
                <w:szCs w:val="20"/>
              </w:rPr>
            </w:pPr>
          </w:p>
          <w:p w14:paraId="299F3ABF" w14:textId="1A014FFC" w:rsidR="00E4074A" w:rsidRPr="007C6F41" w:rsidRDefault="00D41496" w:rsidP="00EF2457">
            <w:pPr>
              <w:spacing w:afterLines="0" w:after="0"/>
              <w:rPr>
                <w:rFonts w:cs="Times New Roman"/>
                <w:sz w:val="20"/>
                <w:szCs w:val="20"/>
              </w:rPr>
            </w:pPr>
            <w:r>
              <w:rPr>
                <w:rFonts w:cs="Times New Roman"/>
                <w:sz w:val="20"/>
                <w:szCs w:val="20"/>
              </w:rPr>
              <w:t>Property Manager</w:t>
            </w:r>
          </w:p>
          <w:p w14:paraId="36B88F51" w14:textId="6F0B8FF9" w:rsidR="00EC6A14" w:rsidRPr="007C6F41" w:rsidRDefault="00EC6A14" w:rsidP="00EF2457">
            <w:pPr>
              <w:spacing w:afterLines="0" w:after="0"/>
              <w:rPr>
                <w:rFonts w:cs="Times New Roman"/>
                <w:sz w:val="20"/>
                <w:szCs w:val="20"/>
              </w:rPr>
            </w:pPr>
          </w:p>
        </w:tc>
      </w:tr>
    </w:tbl>
    <w:p w14:paraId="0EA2D9BC" w14:textId="041E21D8"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5902569" w14:textId="32362D58" w:rsidR="00DC2DC5" w:rsidRDefault="00E33732" w:rsidP="00DC2DC5">
      <w:pPr>
        <w:pStyle w:val="NormalEnd"/>
        <w:spacing w:after="264"/>
      </w:pPr>
      <w:r>
        <w:t>At this time, the Firm does not need Client to provide any additional information or clarification. This section of the Preliminary Analysis may, however, be amended from time to time as new information/questions arise.</w:t>
      </w:r>
    </w:p>
    <w:p w14:paraId="1BC8C939" w14:textId="77777777" w:rsidR="00EE31B6" w:rsidRDefault="00EE31B6" w:rsidP="00EE31B6">
      <w:pPr>
        <w:pStyle w:val="Line"/>
      </w:pPr>
      <w:r w:rsidRPr="00097C4E">
        <w:t>________________________________</w:t>
      </w:r>
    </w:p>
    <w:p w14:paraId="70C45B94" w14:textId="60A3518A" w:rsidR="003D5F3C" w:rsidRDefault="006957FA" w:rsidP="009A43EA">
      <w:pPr>
        <w:pStyle w:val="Heading1"/>
        <w:spacing w:after="264"/>
        <w:rPr>
          <w:rStyle w:val="property1"/>
          <w:rFonts w:eastAsia="Times New Roman"/>
          <w:szCs w:val="24"/>
        </w:rPr>
      </w:pPr>
      <w:r w:rsidRPr="00D536E3">
        <w:lastRenderedPageBreak/>
        <w:fldChar w:fldCharType="begin"/>
      </w:r>
      <w:r>
        <w:instrText xml:space="preserve"> LISTNUM LegalDefault \l 1 </w:instrText>
      </w:r>
      <w:r w:rsidRPr="00D536E3">
        <w:fldChar w:fldCharType="end"/>
      </w:r>
      <w:r w:rsidR="00C158BB">
        <w:br/>
      </w:r>
      <w:r w:rsidR="00AD7456">
        <w:t>Civil Code § 5</w:t>
      </w:r>
      <w:r w:rsidR="003D5F3C">
        <w:t xml:space="preserve">200 </w:t>
      </w:r>
      <w:r w:rsidR="00AD7456">
        <w:t xml:space="preserve">Document </w:t>
      </w:r>
      <w:r w:rsidR="003D5F3C">
        <w:t>Demand</w:t>
      </w:r>
    </w:p>
    <w:p w14:paraId="4FC8F13D" w14:textId="277CD3B8" w:rsidR="003D5F3C" w:rsidRDefault="003D5F3C" w:rsidP="00CD069B">
      <w:pPr>
        <w:pStyle w:val="NormalEnd"/>
        <w:spacing w:after="264"/>
      </w:pPr>
      <w:r>
        <w:t>The HOA produced some documents in response to a Civil Code section 5200 demand. The Firm will complete its review of those documents to determine whether any that should’ve been included are in fact missing.</w:t>
      </w:r>
    </w:p>
    <w:p w14:paraId="70AFA15F" w14:textId="132AC2C4" w:rsidR="00CD069B" w:rsidRDefault="00CD069B" w:rsidP="00CD069B">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6B7BE2EA" w14:textId="63A56741" w:rsidR="0076752F" w:rsidRDefault="00D00717" w:rsidP="0038079C">
      <w:pPr>
        <w:pStyle w:val="NormalEnd"/>
        <w:spacing w:after="264"/>
      </w:pPr>
      <w:r>
        <w:t>None at the moment.</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6F1110" w:rsidRPr="00CC0856">
        <w:rPr>
          <w:rStyle w:val="Heading1Char"/>
        </w:rPr>
        <w:lastRenderedPageBreak/>
        <w:t>Potential Affirmative Defenses</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6E69214B"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C76D88">
        <w:br/>
      </w:r>
      <w:r w:rsidR="009322A7">
        <w:t>BJR (Lamden)</w:t>
      </w:r>
    </w:p>
    <w:p w14:paraId="74366C40" w14:textId="77777777" w:rsidR="003F0E15" w:rsidRDefault="008937AB" w:rsidP="008937AB">
      <w:pPr>
        <w:spacing w:after="264"/>
        <w:ind w:left="360" w:hanging="360"/>
        <w:rPr>
          <w:rFonts w:cs="Times New Roman"/>
          <w:bCs/>
          <w:szCs w:val="24"/>
        </w:rPr>
      </w:pPr>
      <w:r>
        <w:rPr>
          <w:rFonts w:cs="Times New Roman"/>
          <w:bCs/>
          <w:szCs w:val="24"/>
          <w:u w:val="single"/>
        </w:rPr>
        <w:t>Affirmative Defense</w:t>
      </w:r>
      <w:r>
        <w:rPr>
          <w:rFonts w:cs="Times New Roman"/>
          <w:bCs/>
          <w:szCs w:val="24"/>
        </w:rPr>
        <w:t>—Business Judgment Rule.</w:t>
      </w:r>
    </w:p>
    <w:p w14:paraId="49FADFEE" w14:textId="77777777" w:rsidR="003F0E15" w:rsidRDefault="00BE74E8" w:rsidP="00BE74E8">
      <w:pPr>
        <w:spacing w:after="264"/>
        <w:ind w:left="1080" w:hanging="360"/>
        <w:rPr>
          <w:rFonts w:cs="Times New Roman"/>
          <w:bCs/>
          <w:szCs w:val="24"/>
        </w:rPr>
      </w:pPr>
      <w:r>
        <w:rPr>
          <w:rFonts w:cs="Times New Roman"/>
          <w:bCs/>
          <w:szCs w:val="24"/>
        </w:rPr>
        <w:t xml:space="preserve">—  The business judgment rule (“BJR”) </w:t>
      </w:r>
      <w:r w:rsidR="005C24EE">
        <w:rPr>
          <w:rFonts w:cs="Times New Roman"/>
          <w:bCs/>
          <w:szCs w:val="24"/>
        </w:rPr>
        <w:t xml:space="preserve">is </w:t>
      </w:r>
      <w:r w:rsidR="004549BC">
        <w:rPr>
          <w:rFonts w:cs="Times New Roman"/>
          <w:bCs/>
          <w:szCs w:val="24"/>
        </w:rPr>
        <w:t>a</w:t>
      </w:r>
      <w:r w:rsidR="005C24EE">
        <w:rPr>
          <w:rFonts w:cs="Times New Roman"/>
          <w:bCs/>
          <w:szCs w:val="24"/>
        </w:rPr>
        <w:t xml:space="preserve"> </w:t>
      </w:r>
      <w:r w:rsidR="004549BC">
        <w:rPr>
          <w:rFonts w:cs="Times New Roman"/>
          <w:bCs/>
          <w:szCs w:val="24"/>
        </w:rPr>
        <w:t xml:space="preserve">court-made doctrine of judicial deference granted to boards of directors. In general terms, under the BJR, courts presume that directors have based their decisions on sound business judgment, and therefore interference by the court with a board’s decisions is something to be avoided. </w:t>
      </w:r>
      <w:r w:rsidR="00846116" w:rsidRPr="00846116">
        <w:rPr>
          <w:rFonts w:cs="Times New Roman"/>
          <w:bCs/>
          <w:szCs w:val="24"/>
        </w:rPr>
        <w:t xml:space="preserve">The BJR applies as long as the director’s decision was made in good faith and in the absence of a conflict of interest. (Corp. Code, §§ 309, 7231; </w:t>
      </w:r>
      <w:r w:rsidR="00846116" w:rsidRPr="00846116">
        <w:rPr>
          <w:rFonts w:cs="Times New Roman"/>
          <w:bCs/>
          <w:i/>
          <w:iCs/>
          <w:szCs w:val="24"/>
        </w:rPr>
        <w:t>Berg &amp; Berg Enterprises, LLC v. Boyle</w:t>
      </w:r>
      <w:r w:rsidR="00846116" w:rsidRPr="00846116">
        <w:rPr>
          <w:rFonts w:cs="Times New Roman"/>
          <w:bCs/>
          <w:szCs w:val="24"/>
        </w:rPr>
        <w:t xml:space="preserve"> (2009) 178 Cal.App.4th 1020, 1045.)</w:t>
      </w:r>
    </w:p>
    <w:p w14:paraId="5BE112AC" w14:textId="77777777" w:rsidR="003F0E15" w:rsidRDefault="00846116" w:rsidP="00BE74E8">
      <w:pPr>
        <w:spacing w:after="264"/>
        <w:ind w:left="1080" w:hanging="360"/>
        <w:rPr>
          <w:rFonts w:cs="Times New Roman"/>
          <w:bCs/>
          <w:szCs w:val="24"/>
        </w:rPr>
      </w:pPr>
      <w:r>
        <w:rPr>
          <w:rFonts w:cs="Times New Roman"/>
          <w:bCs/>
          <w:szCs w:val="24"/>
        </w:rPr>
        <w:t xml:space="preserve">—  </w:t>
      </w:r>
      <w:r w:rsidR="00AA36D2">
        <w:rPr>
          <w:rFonts w:cs="Times New Roman"/>
          <w:bCs/>
          <w:szCs w:val="24"/>
        </w:rPr>
        <w:t>The</w:t>
      </w:r>
      <w:r w:rsidR="00C614FD">
        <w:rPr>
          <w:rFonts w:cs="Times New Roman"/>
          <w:bCs/>
          <w:szCs w:val="24"/>
        </w:rPr>
        <w:t xml:space="preserve"> BJR was </w:t>
      </w:r>
      <w:r w:rsidR="00AA36D2">
        <w:rPr>
          <w:rFonts w:cs="Times New Roman"/>
          <w:bCs/>
          <w:szCs w:val="24"/>
        </w:rPr>
        <w:t xml:space="preserve">formally applied to boards in HOA cases by </w:t>
      </w:r>
      <w:r w:rsidR="00C614FD">
        <w:rPr>
          <w:rFonts w:cs="Times New Roman"/>
          <w:bCs/>
          <w:szCs w:val="24"/>
        </w:rPr>
        <w:t xml:space="preserve">a famous case called </w:t>
      </w:r>
      <w:r w:rsidR="00C614FD">
        <w:rPr>
          <w:rFonts w:cs="Times New Roman"/>
          <w:bCs/>
          <w:i/>
          <w:iCs/>
          <w:szCs w:val="24"/>
        </w:rPr>
        <w:t xml:space="preserve">Lamden v. La Jolla Shores </w:t>
      </w:r>
      <w:proofErr w:type="spellStart"/>
      <w:r w:rsidR="00C614FD">
        <w:rPr>
          <w:rFonts w:cs="Times New Roman"/>
          <w:bCs/>
          <w:i/>
          <w:iCs/>
          <w:szCs w:val="24"/>
        </w:rPr>
        <w:t>Clubdominium</w:t>
      </w:r>
      <w:proofErr w:type="spellEnd"/>
      <w:r w:rsidR="00C614FD">
        <w:rPr>
          <w:rFonts w:cs="Times New Roman"/>
          <w:bCs/>
          <w:i/>
          <w:iCs/>
          <w:szCs w:val="24"/>
        </w:rPr>
        <w:t xml:space="preserve"> Homeowners Assn.</w:t>
      </w:r>
      <w:r w:rsidR="00C614FD">
        <w:rPr>
          <w:rFonts w:cs="Times New Roman"/>
          <w:bCs/>
          <w:szCs w:val="24"/>
        </w:rPr>
        <w:t xml:space="preserve"> (1999) 21 Cal.4th 249.</w:t>
      </w:r>
      <w:r w:rsidR="00ED576C">
        <w:rPr>
          <w:rStyle w:val="FootnoteReference"/>
          <w:rFonts w:cs="Times New Roman"/>
          <w:bCs/>
          <w:szCs w:val="24"/>
        </w:rPr>
        <w:footnoteReference w:id="2"/>
      </w:r>
      <w:r w:rsidR="00C614FD">
        <w:rPr>
          <w:rFonts w:cs="Times New Roman"/>
          <w:bCs/>
          <w:szCs w:val="24"/>
        </w:rPr>
        <w:t xml:space="preserve"> </w:t>
      </w:r>
    </w:p>
    <w:p w14:paraId="6FC2E53F" w14:textId="77777777" w:rsidR="003F0E15" w:rsidRDefault="00B23F78" w:rsidP="00BE74E8">
      <w:pPr>
        <w:spacing w:after="264"/>
        <w:ind w:left="1080" w:hanging="360"/>
        <w:rPr>
          <w:rFonts w:cs="Times New Roman"/>
          <w:bCs/>
          <w:szCs w:val="24"/>
        </w:rPr>
      </w:pPr>
      <w:r>
        <w:rPr>
          <w:rFonts w:cs="Times New Roman"/>
          <w:bCs/>
          <w:szCs w:val="24"/>
        </w:rPr>
        <w:t xml:space="preserve">—  </w:t>
      </w:r>
      <w:r w:rsidRPr="00684A37">
        <w:rPr>
          <w:rFonts w:cs="Times New Roman"/>
          <w:bCs/>
          <w:szCs w:val="24"/>
        </w:rPr>
        <w:t>This presumption</w:t>
      </w:r>
      <w:r>
        <w:rPr>
          <w:rFonts w:cs="Times New Roman"/>
          <w:bCs/>
          <w:szCs w:val="24"/>
        </w:rPr>
        <w:t xml:space="preserve"> granted under the BJR, however,</w:t>
      </w:r>
      <w:r w:rsidRPr="00684A37">
        <w:rPr>
          <w:rFonts w:cs="Times New Roman"/>
          <w:bCs/>
          <w:szCs w:val="24"/>
        </w:rPr>
        <w:t xml:space="preserve"> can be overcome</w:t>
      </w:r>
      <w:r>
        <w:rPr>
          <w:rFonts w:cs="Times New Roman"/>
          <w:bCs/>
          <w:szCs w:val="24"/>
        </w:rPr>
        <w:t>—</w:t>
      </w:r>
      <w:r w:rsidRPr="00684A37">
        <w:rPr>
          <w:rFonts w:cs="Times New Roman"/>
          <w:bCs/>
          <w:szCs w:val="24"/>
        </w:rPr>
        <w:t xml:space="preserve">i.e., </w:t>
      </w:r>
      <w:r>
        <w:rPr>
          <w:rFonts w:cs="Times New Roman"/>
          <w:bCs/>
          <w:szCs w:val="24"/>
        </w:rPr>
        <w:t>directors won’t be</w:t>
      </w:r>
      <w:r w:rsidRPr="00684A37">
        <w:rPr>
          <w:rFonts w:cs="Times New Roman"/>
          <w:bCs/>
          <w:szCs w:val="24"/>
        </w:rPr>
        <w:t xml:space="preserve"> shielded from personal liability</w:t>
      </w:r>
      <w:r>
        <w:rPr>
          <w:rFonts w:cs="Times New Roman"/>
          <w:bCs/>
          <w:szCs w:val="24"/>
        </w:rPr>
        <w:t>—</w:t>
      </w:r>
      <w:r w:rsidRPr="00684A37">
        <w:rPr>
          <w:rFonts w:cs="Times New Roman"/>
          <w:bCs/>
          <w:szCs w:val="24"/>
        </w:rPr>
        <w:t>if the director</w:t>
      </w:r>
      <w:r>
        <w:rPr>
          <w:rFonts w:cs="Times New Roman"/>
          <w:bCs/>
          <w:szCs w:val="24"/>
        </w:rPr>
        <w:t>s’</w:t>
      </w:r>
      <w:r w:rsidRPr="00684A37">
        <w:rPr>
          <w:rFonts w:cs="Times New Roman"/>
          <w:bCs/>
          <w:szCs w:val="24"/>
        </w:rPr>
        <w:t xml:space="preserve"> business decision</w:t>
      </w:r>
      <w:r>
        <w:rPr>
          <w:rFonts w:cs="Times New Roman"/>
          <w:bCs/>
          <w:szCs w:val="24"/>
        </w:rPr>
        <w:t xml:space="preserve">s were </w:t>
      </w:r>
      <w:r w:rsidRPr="00684A37">
        <w:rPr>
          <w:rFonts w:cs="Times New Roman"/>
          <w:bCs/>
          <w:szCs w:val="24"/>
        </w:rPr>
        <w:t>made without reasonable inquiry, with improper motives, or as a result of a conflict of interest. (</w:t>
      </w:r>
      <w:r w:rsidRPr="00684A37">
        <w:rPr>
          <w:rFonts w:cs="Times New Roman"/>
          <w:bCs/>
          <w:i/>
          <w:iCs/>
          <w:szCs w:val="24"/>
        </w:rPr>
        <w:t>Berg &amp; Berg Enterprises, LLC v. Boyle</w:t>
      </w:r>
      <w:r>
        <w:rPr>
          <w:rFonts w:cs="Times New Roman"/>
          <w:bCs/>
          <w:szCs w:val="24"/>
        </w:rPr>
        <w:t xml:space="preserve">, </w:t>
      </w:r>
      <w:r w:rsidRPr="00684A37">
        <w:rPr>
          <w:rFonts w:cs="Times New Roman"/>
          <w:bCs/>
          <w:i/>
          <w:iCs/>
          <w:szCs w:val="24"/>
        </w:rPr>
        <w:t>supra</w:t>
      </w:r>
      <w:r>
        <w:rPr>
          <w:rFonts w:cs="Times New Roman"/>
          <w:bCs/>
          <w:szCs w:val="24"/>
        </w:rPr>
        <w:t xml:space="preserve">, </w:t>
      </w:r>
      <w:r w:rsidRPr="00684A37">
        <w:rPr>
          <w:rFonts w:cs="Times New Roman"/>
          <w:bCs/>
          <w:szCs w:val="24"/>
        </w:rPr>
        <w:t xml:space="preserve">178 Cal.App.4th </w:t>
      </w:r>
      <w:r>
        <w:rPr>
          <w:rFonts w:cs="Times New Roman"/>
          <w:bCs/>
          <w:szCs w:val="24"/>
        </w:rPr>
        <w:t>at</w:t>
      </w:r>
      <w:r w:rsidRPr="00684A37">
        <w:rPr>
          <w:rFonts w:cs="Times New Roman"/>
          <w:bCs/>
          <w:szCs w:val="24"/>
        </w:rPr>
        <w:t xml:space="preserve"> 1045.)</w:t>
      </w:r>
      <w:r>
        <w:rPr>
          <w:rFonts w:cs="Times New Roman"/>
          <w:bCs/>
          <w:szCs w:val="24"/>
        </w:rPr>
        <w:t xml:space="preserve"> In other words, t</w:t>
      </w:r>
      <w:r w:rsidRPr="007530D1">
        <w:rPr>
          <w:rFonts w:cs="Times New Roman"/>
          <w:bCs/>
          <w:szCs w:val="24"/>
        </w:rPr>
        <w:t xml:space="preserve">o defeat the </w:t>
      </w:r>
      <w:r w:rsidRPr="007530D1">
        <w:rPr>
          <w:rFonts w:cs="Times New Roman"/>
          <w:bCs/>
          <w:i/>
          <w:iCs/>
          <w:szCs w:val="24"/>
        </w:rPr>
        <w:t>Lamden</w:t>
      </w:r>
      <w:r w:rsidRPr="007530D1">
        <w:rPr>
          <w:rFonts w:cs="Times New Roman"/>
          <w:bCs/>
          <w:szCs w:val="24"/>
        </w:rPr>
        <w:t xml:space="preserve"> rule of judicial deference, a plaintiff will need to show that the board either acted in bad faith, failed to investigate, </w:t>
      </w:r>
      <w:r w:rsidRPr="007530D1">
        <w:rPr>
          <w:rFonts w:cs="Times New Roman"/>
          <w:bCs/>
          <w:szCs w:val="24"/>
        </w:rPr>
        <w:lastRenderedPageBreak/>
        <w:t>acted with self-interest, or acted outside the scope of its authority.</w:t>
      </w:r>
      <w:r>
        <w:rPr>
          <w:rFonts w:cs="Times New Roman"/>
          <w:bCs/>
          <w:szCs w:val="24"/>
        </w:rPr>
        <w:t xml:space="preserve"> In fact, n</w:t>
      </w:r>
      <w:r w:rsidR="00577E04">
        <w:rPr>
          <w:rFonts w:cs="Times New Roman"/>
          <w:bCs/>
          <w:szCs w:val="24"/>
        </w:rPr>
        <w:t xml:space="preserve">otwithstanding the expansion of the BJR under </w:t>
      </w:r>
      <w:r w:rsidR="00577E04">
        <w:rPr>
          <w:rFonts w:cs="Times New Roman"/>
          <w:bCs/>
          <w:i/>
          <w:iCs/>
          <w:szCs w:val="24"/>
        </w:rPr>
        <w:t>Lamden</w:t>
      </w:r>
      <w:r w:rsidR="00577E04">
        <w:rPr>
          <w:rFonts w:cs="Times New Roman"/>
          <w:bCs/>
          <w:szCs w:val="24"/>
        </w:rPr>
        <w:t xml:space="preserve"> referenced in the footnote below, other courts in California have limited </w:t>
      </w:r>
      <w:r w:rsidR="00577E04">
        <w:rPr>
          <w:rFonts w:cs="Times New Roman"/>
          <w:bCs/>
          <w:i/>
          <w:iCs/>
          <w:szCs w:val="24"/>
        </w:rPr>
        <w:t>Lamden</w:t>
      </w:r>
      <w:r w:rsidR="00577E04">
        <w:rPr>
          <w:rFonts w:cs="Times New Roman"/>
          <w:bCs/>
          <w:szCs w:val="24"/>
        </w:rPr>
        <w:t xml:space="preserve"> in a variety of ways.</w:t>
      </w:r>
    </w:p>
    <w:p w14:paraId="404E7524" w14:textId="77777777" w:rsidR="003F0E15" w:rsidRDefault="00577E04" w:rsidP="005A7498">
      <w:pPr>
        <w:spacing w:after="264"/>
        <w:ind w:left="1350" w:hanging="270"/>
        <w:rPr>
          <w:rFonts w:cs="Times New Roman"/>
          <w:bCs/>
          <w:szCs w:val="24"/>
        </w:rPr>
      </w:pPr>
      <w:r>
        <w:rPr>
          <w:rFonts w:cs="Times New Roman"/>
          <w:bCs/>
          <w:szCs w:val="24"/>
        </w:rPr>
        <w:t xml:space="preserve">•   </w:t>
      </w:r>
      <w:r w:rsidRPr="00577E04">
        <w:rPr>
          <w:rFonts w:cs="Times New Roman"/>
          <w:bCs/>
          <w:szCs w:val="24"/>
        </w:rPr>
        <w:t xml:space="preserve">In </w:t>
      </w:r>
      <w:r w:rsidRPr="006B655D">
        <w:rPr>
          <w:rFonts w:cs="Times New Roman"/>
          <w:bCs/>
          <w:i/>
          <w:iCs/>
          <w:szCs w:val="24"/>
        </w:rPr>
        <w:t>Affan v. Portofino Cove Homeowners Assn.</w:t>
      </w:r>
      <w:r w:rsidRPr="00577E04">
        <w:rPr>
          <w:rFonts w:cs="Times New Roman"/>
          <w:bCs/>
          <w:szCs w:val="24"/>
        </w:rPr>
        <w:t xml:space="preserve"> (2010) 189 Cal.App.4th 930, the court recognized </w:t>
      </w:r>
      <w:r w:rsidR="006B655D">
        <w:rPr>
          <w:rFonts w:cs="Times New Roman"/>
          <w:bCs/>
          <w:i/>
          <w:iCs/>
          <w:szCs w:val="24"/>
        </w:rPr>
        <w:t>Lamden</w:t>
      </w:r>
      <w:r w:rsidR="005A7498" w:rsidRPr="005A7498">
        <w:rPr>
          <w:rFonts w:cs="Times New Roman"/>
          <w:bCs/>
          <w:i/>
          <w:iCs/>
          <w:szCs w:val="24"/>
        </w:rPr>
        <w:t>’s</w:t>
      </w:r>
      <w:r w:rsidR="005A7498">
        <w:rPr>
          <w:rFonts w:cs="Times New Roman"/>
          <w:bCs/>
          <w:szCs w:val="24"/>
        </w:rPr>
        <w:t xml:space="preserve"> narrow scope </w:t>
      </w:r>
      <w:r w:rsidR="006B655D">
        <w:rPr>
          <w:rFonts w:cs="Times New Roman"/>
          <w:bCs/>
          <w:szCs w:val="24"/>
        </w:rPr>
        <w:t xml:space="preserve">and noted that </w:t>
      </w:r>
      <w:r w:rsidR="005A7498">
        <w:rPr>
          <w:rFonts w:cs="Times New Roman"/>
          <w:bCs/>
          <w:szCs w:val="24"/>
        </w:rPr>
        <w:t xml:space="preserve">while it was certainly a rule of deference in favor of HOA boards, it did NOT create “blanket immunity” for all board decisions. </w:t>
      </w:r>
      <w:r w:rsidRPr="00577E04">
        <w:rPr>
          <w:rFonts w:cs="Times New Roman"/>
          <w:bCs/>
          <w:szCs w:val="24"/>
        </w:rPr>
        <w:t>(</w:t>
      </w:r>
      <w:r w:rsidR="00426749" w:rsidRPr="00426749">
        <w:rPr>
          <w:rFonts w:cs="Times New Roman"/>
          <w:bCs/>
          <w:i/>
          <w:szCs w:val="24"/>
        </w:rPr>
        <w:t>Id</w:t>
      </w:r>
      <w:r w:rsidRPr="00577E04">
        <w:rPr>
          <w:rFonts w:cs="Times New Roman"/>
          <w:bCs/>
          <w:szCs w:val="24"/>
        </w:rPr>
        <w:t>.</w:t>
      </w:r>
      <w:r w:rsidR="005A7498">
        <w:rPr>
          <w:rFonts w:cs="Times New Roman"/>
          <w:bCs/>
          <w:szCs w:val="24"/>
        </w:rPr>
        <w:t>,</w:t>
      </w:r>
      <w:r w:rsidRPr="00577E04">
        <w:rPr>
          <w:rFonts w:cs="Times New Roman"/>
          <w:bCs/>
          <w:szCs w:val="24"/>
        </w:rPr>
        <w:t xml:space="preserve"> at 940.)</w:t>
      </w:r>
    </w:p>
    <w:p w14:paraId="5B080BA7" w14:textId="77777777" w:rsidR="003F0E15" w:rsidRDefault="005A7498" w:rsidP="005A7498">
      <w:pPr>
        <w:spacing w:after="264"/>
        <w:ind w:left="1350" w:hanging="270"/>
        <w:rPr>
          <w:rFonts w:cs="Times New Roman"/>
          <w:bCs/>
          <w:szCs w:val="24"/>
        </w:rPr>
      </w:pPr>
      <w:r>
        <w:rPr>
          <w:rFonts w:cs="Times New Roman"/>
          <w:bCs/>
          <w:szCs w:val="24"/>
        </w:rPr>
        <w:t xml:space="preserve">•   </w:t>
      </w:r>
      <w:r w:rsidRPr="005A7498">
        <w:rPr>
          <w:rFonts w:cs="Times New Roman"/>
          <w:bCs/>
          <w:szCs w:val="24"/>
        </w:rPr>
        <w:t xml:space="preserve">In </w:t>
      </w:r>
      <w:r w:rsidRPr="005A7498">
        <w:rPr>
          <w:rFonts w:cs="Times New Roman"/>
          <w:bCs/>
          <w:i/>
          <w:iCs/>
          <w:szCs w:val="24"/>
        </w:rPr>
        <w:t>Ekstrom v. Marquesa at Monarch Beach Homeowners Assn.</w:t>
      </w:r>
      <w:r w:rsidRPr="005A7498">
        <w:rPr>
          <w:rFonts w:cs="Times New Roman"/>
          <w:bCs/>
          <w:szCs w:val="24"/>
        </w:rPr>
        <w:t xml:space="preserve"> (2008) 168 Cal.App.4th 1111, the court described Lamden</w:t>
      </w:r>
      <w:r>
        <w:rPr>
          <w:rFonts w:cs="Times New Roman"/>
          <w:bCs/>
          <w:szCs w:val="24"/>
        </w:rPr>
        <w:t>’</w:t>
      </w:r>
      <w:r w:rsidRPr="005A7498">
        <w:rPr>
          <w:rFonts w:cs="Times New Roman"/>
          <w:bCs/>
          <w:szCs w:val="24"/>
        </w:rPr>
        <w:t xml:space="preserve">s </w:t>
      </w:r>
      <w:r>
        <w:rPr>
          <w:rFonts w:cs="Times New Roman"/>
          <w:bCs/>
          <w:szCs w:val="24"/>
        </w:rPr>
        <w:t>BJR</w:t>
      </w:r>
      <w:r w:rsidRPr="005A7498">
        <w:rPr>
          <w:rFonts w:cs="Times New Roman"/>
          <w:bCs/>
          <w:szCs w:val="24"/>
        </w:rPr>
        <w:t xml:space="preserve"> as being in the nature of an affirmative defense</w:t>
      </w:r>
      <w:r>
        <w:rPr>
          <w:rFonts w:cs="Times New Roman"/>
          <w:bCs/>
          <w:szCs w:val="24"/>
        </w:rPr>
        <w:t xml:space="preserve"> (</w:t>
      </w:r>
      <w:r w:rsidRPr="005A7498">
        <w:rPr>
          <w:rFonts w:cs="Times New Roman"/>
          <w:bCs/>
          <w:szCs w:val="24"/>
        </w:rPr>
        <w:t xml:space="preserve">and held </w:t>
      </w:r>
      <w:r>
        <w:rPr>
          <w:rFonts w:cs="Times New Roman"/>
          <w:bCs/>
          <w:szCs w:val="24"/>
        </w:rPr>
        <w:t xml:space="preserve">that </w:t>
      </w:r>
      <w:r w:rsidRPr="005A7498">
        <w:rPr>
          <w:rFonts w:cs="Times New Roman"/>
          <w:bCs/>
          <w:szCs w:val="24"/>
        </w:rPr>
        <w:t>a defense of good faith is necessarily factual in nature</w:t>
      </w:r>
      <w:r>
        <w:rPr>
          <w:rFonts w:cs="Times New Roman"/>
          <w:bCs/>
          <w:szCs w:val="24"/>
        </w:rPr>
        <w:t>)</w:t>
      </w:r>
      <w:r w:rsidRPr="005A7498">
        <w:rPr>
          <w:rFonts w:cs="Times New Roman"/>
          <w:bCs/>
          <w:szCs w:val="24"/>
        </w:rPr>
        <w:t xml:space="preserve">. Thus, under </w:t>
      </w:r>
      <w:r w:rsidRPr="005A7498">
        <w:rPr>
          <w:rFonts w:cs="Times New Roman"/>
          <w:bCs/>
          <w:i/>
          <w:iCs/>
          <w:szCs w:val="24"/>
        </w:rPr>
        <w:t>Lamden</w:t>
      </w:r>
      <w:r w:rsidRPr="005A7498">
        <w:rPr>
          <w:rFonts w:cs="Times New Roman"/>
          <w:bCs/>
          <w:szCs w:val="24"/>
        </w:rPr>
        <w:t xml:space="preserve">, </w:t>
      </w:r>
      <w:r>
        <w:rPr>
          <w:rFonts w:cs="Times New Roman"/>
          <w:bCs/>
          <w:szCs w:val="24"/>
        </w:rPr>
        <w:t xml:space="preserve">that court reasoned that </w:t>
      </w:r>
      <w:r w:rsidRPr="005A7498">
        <w:rPr>
          <w:rFonts w:cs="Times New Roman"/>
          <w:bCs/>
          <w:szCs w:val="24"/>
        </w:rPr>
        <w:t xml:space="preserve">“judicial deference </w:t>
      </w:r>
      <w:r>
        <w:rPr>
          <w:rFonts w:cs="Times New Roman"/>
          <w:bCs/>
          <w:szCs w:val="24"/>
        </w:rPr>
        <w:t>[was]</w:t>
      </w:r>
      <w:r w:rsidRPr="005A7498">
        <w:rPr>
          <w:rFonts w:cs="Times New Roman"/>
          <w:bCs/>
          <w:szCs w:val="24"/>
        </w:rPr>
        <w:t xml:space="preserve"> owed only when it </w:t>
      </w:r>
      <w:proofErr w:type="spellStart"/>
      <w:r w:rsidRPr="005A7498">
        <w:rPr>
          <w:rFonts w:cs="Times New Roman"/>
          <w:bCs/>
          <w:szCs w:val="24"/>
        </w:rPr>
        <w:t>ha</w:t>
      </w:r>
      <w:proofErr w:type="spellEnd"/>
      <w:r>
        <w:rPr>
          <w:rFonts w:cs="Times New Roman"/>
          <w:bCs/>
          <w:szCs w:val="24"/>
        </w:rPr>
        <w:t>[d]</w:t>
      </w:r>
      <w:r w:rsidRPr="005A7498">
        <w:rPr>
          <w:rFonts w:cs="Times New Roman"/>
          <w:bCs/>
          <w:szCs w:val="24"/>
        </w:rPr>
        <w:t xml:space="preserve"> been shown the Association acted after reasonable investigation, in good faith and with regard for the best interests of the community association and its members.”</w:t>
      </w:r>
      <w:r>
        <w:rPr>
          <w:rFonts w:cs="Times New Roman"/>
          <w:bCs/>
          <w:szCs w:val="24"/>
        </w:rPr>
        <w:t xml:space="preserve"> (</w:t>
      </w:r>
      <w:r w:rsidR="00426749" w:rsidRPr="00426749">
        <w:rPr>
          <w:rFonts w:cs="Times New Roman"/>
          <w:bCs/>
          <w:i/>
          <w:szCs w:val="24"/>
        </w:rPr>
        <w:t>Id</w:t>
      </w:r>
      <w:r>
        <w:rPr>
          <w:rFonts w:cs="Times New Roman"/>
          <w:bCs/>
          <w:szCs w:val="24"/>
        </w:rPr>
        <w:t>., at 1122-1123.)</w:t>
      </w:r>
    </w:p>
    <w:p w14:paraId="396683CD" w14:textId="77777777" w:rsidR="003F0E15" w:rsidRDefault="00127DC8" w:rsidP="00B23F78">
      <w:pPr>
        <w:spacing w:after="264"/>
        <w:ind w:left="1350" w:hanging="270"/>
        <w:rPr>
          <w:rFonts w:cs="Times New Roman"/>
          <w:bCs/>
          <w:szCs w:val="24"/>
        </w:rPr>
      </w:pPr>
      <w:r>
        <w:rPr>
          <w:rFonts w:cs="Times New Roman"/>
          <w:bCs/>
          <w:szCs w:val="24"/>
        </w:rPr>
        <w:t xml:space="preserve">•   The BJR under </w:t>
      </w:r>
      <w:r>
        <w:rPr>
          <w:rFonts w:cs="Times New Roman"/>
          <w:bCs/>
          <w:i/>
          <w:iCs/>
          <w:szCs w:val="24"/>
        </w:rPr>
        <w:t>Lamden</w:t>
      </w:r>
      <w:r>
        <w:rPr>
          <w:rFonts w:cs="Times New Roman"/>
          <w:bCs/>
          <w:szCs w:val="24"/>
        </w:rPr>
        <w:t xml:space="preserve"> does </w:t>
      </w:r>
      <w:r>
        <w:rPr>
          <w:rFonts w:cs="Times New Roman"/>
          <w:bCs/>
          <w:i/>
          <w:iCs/>
          <w:szCs w:val="24"/>
        </w:rPr>
        <w:t>not</w:t>
      </w:r>
      <w:r>
        <w:rPr>
          <w:rFonts w:cs="Times New Roman"/>
          <w:bCs/>
          <w:szCs w:val="24"/>
        </w:rPr>
        <w:t xml:space="preserve"> extend to legal questions that may involve the interpretation of an HOA’s CC&amp;Rs—i.e., courts, not HOAs, decide </w:t>
      </w:r>
      <w:r>
        <w:rPr>
          <w:rFonts w:cs="Times New Roman"/>
          <w:bCs/>
          <w:i/>
          <w:iCs/>
          <w:szCs w:val="24"/>
        </w:rPr>
        <w:t xml:space="preserve">legal </w:t>
      </w:r>
      <w:r>
        <w:rPr>
          <w:rFonts w:cs="Times New Roman"/>
          <w:bCs/>
          <w:szCs w:val="24"/>
        </w:rPr>
        <w:t xml:space="preserve">questions. </w:t>
      </w:r>
      <w:r w:rsidR="00062A5C" w:rsidRPr="00062A5C">
        <w:rPr>
          <w:rFonts w:cs="Times New Roman"/>
          <w:bCs/>
          <w:szCs w:val="24"/>
        </w:rPr>
        <w:t xml:space="preserve">An association’s Board is afforded deference in determining how to make necessary repairs to common areas, it cannot substitute its discretion for that of a court deciding whether the association has an obligation to make repairs to common areas based upon statutory and contractual language. </w:t>
      </w:r>
      <w:r w:rsidRPr="00127DC8">
        <w:rPr>
          <w:rFonts w:cs="Times New Roman"/>
          <w:bCs/>
          <w:szCs w:val="24"/>
        </w:rPr>
        <w:t>(</w:t>
      </w:r>
      <w:r w:rsidRPr="00127DC8">
        <w:rPr>
          <w:rFonts w:cs="Times New Roman"/>
          <w:bCs/>
          <w:i/>
          <w:iCs/>
          <w:szCs w:val="24"/>
        </w:rPr>
        <w:t>Dover Village Assn. v. Jennison</w:t>
      </w:r>
      <w:r w:rsidRPr="00127DC8">
        <w:rPr>
          <w:rFonts w:cs="Times New Roman"/>
          <w:bCs/>
          <w:szCs w:val="24"/>
        </w:rPr>
        <w:t xml:space="preserve"> (2010) 191 Cal.App.4th 123</w:t>
      </w:r>
      <w:r>
        <w:rPr>
          <w:rFonts w:cs="Times New Roman"/>
          <w:bCs/>
          <w:szCs w:val="24"/>
        </w:rPr>
        <w:t>.)</w:t>
      </w:r>
      <w:r w:rsidR="00062A5C">
        <w:rPr>
          <w:rFonts w:cs="Times New Roman"/>
          <w:bCs/>
          <w:szCs w:val="24"/>
        </w:rPr>
        <w:t xml:space="preserve"> </w:t>
      </w:r>
      <w:r w:rsidR="00062A5C" w:rsidRPr="00062A5C">
        <w:rPr>
          <w:rFonts w:cs="Times New Roman"/>
          <w:bCs/>
          <w:i/>
          <w:iCs/>
          <w:szCs w:val="24"/>
        </w:rPr>
        <w:t>In other words, a board is offered protection under the BJR when it makes a choice, not when it ignores problems.</w:t>
      </w:r>
    </w:p>
    <w:p w14:paraId="7E987773"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C76D88">
        <w:br/>
      </w:r>
      <w:r w:rsidR="00AD7EB8">
        <w:t>Statute of Limitations</w:t>
      </w:r>
    </w:p>
    <w:p w14:paraId="2F8BF800" w14:textId="77777777" w:rsidR="003F0E15" w:rsidRDefault="00AD7EB8" w:rsidP="00AD7EB8">
      <w:pPr>
        <w:spacing w:after="264"/>
        <w:rPr>
          <w:rFonts w:cs="Times New Roman"/>
          <w:bCs/>
          <w:szCs w:val="24"/>
        </w:rPr>
      </w:pPr>
      <w:r>
        <w:rPr>
          <w:rFonts w:cs="Times New Roman"/>
          <w:bCs/>
          <w:szCs w:val="24"/>
        </w:rPr>
        <w:t xml:space="preserve">The applicability of a statute of limitations defense depends upon the nature of the claims alleged. </w:t>
      </w:r>
      <w:r w:rsidR="009247AA">
        <w:rPr>
          <w:rFonts w:cs="Times New Roman"/>
          <w:bCs/>
          <w:szCs w:val="24"/>
        </w:rPr>
        <w:t>Based upon the claims aimed at Client, the following seem relevant</w:t>
      </w:r>
      <w:r>
        <w:rPr>
          <w:rFonts w:cs="Times New Roman"/>
          <w:bCs/>
          <w:szCs w:val="24"/>
        </w:rPr>
        <w:t>:</w:t>
      </w:r>
    </w:p>
    <w:p w14:paraId="0711D90D" w14:textId="77777777" w:rsidR="003F0E15" w:rsidRDefault="00AD7EB8" w:rsidP="00AD7EB8">
      <w:pPr>
        <w:spacing w:after="264"/>
        <w:ind w:left="1080" w:hanging="360"/>
        <w:rPr>
          <w:rFonts w:cs="Times New Roman"/>
          <w:bCs/>
          <w:szCs w:val="24"/>
        </w:rPr>
      </w:pPr>
      <w:r>
        <w:rPr>
          <w:rFonts w:cs="Times New Roman"/>
          <w:bCs/>
          <w:szCs w:val="24"/>
        </w:rPr>
        <w:t xml:space="preserve">—  </w:t>
      </w:r>
      <w:r w:rsidRPr="00FE539D">
        <w:rPr>
          <w:rFonts w:cs="Times New Roman"/>
          <w:bCs/>
          <w:szCs w:val="24"/>
        </w:rPr>
        <w:t xml:space="preserve">The statute of limitations to </w:t>
      </w:r>
      <w:r w:rsidRPr="00977649">
        <w:rPr>
          <w:rFonts w:cs="Times New Roman"/>
          <w:b/>
          <w:szCs w:val="24"/>
        </w:rPr>
        <w:t>enforce a restriction</w:t>
      </w:r>
      <w:r w:rsidRPr="00FE539D">
        <w:rPr>
          <w:rFonts w:cs="Times New Roman"/>
          <w:bCs/>
          <w:szCs w:val="24"/>
        </w:rPr>
        <w:t xml:space="preserve">, which includes </w:t>
      </w:r>
      <w:r>
        <w:rPr>
          <w:rFonts w:cs="Times New Roman"/>
          <w:bCs/>
          <w:szCs w:val="24"/>
        </w:rPr>
        <w:t>CC&amp;Rs</w:t>
      </w:r>
      <w:r w:rsidRPr="00FE539D">
        <w:rPr>
          <w:rFonts w:cs="Times New Roman"/>
          <w:bCs/>
          <w:szCs w:val="24"/>
        </w:rPr>
        <w:t>, is five years. (Code Civ. Proc.</w:t>
      </w:r>
      <w:r>
        <w:rPr>
          <w:rFonts w:cs="Times New Roman"/>
          <w:bCs/>
          <w:szCs w:val="24"/>
        </w:rPr>
        <w:t>,</w:t>
      </w:r>
      <w:r w:rsidRPr="00FE539D">
        <w:rPr>
          <w:rFonts w:cs="Times New Roman"/>
          <w:bCs/>
          <w:szCs w:val="24"/>
        </w:rPr>
        <w:t xml:space="preserve"> § 336(b).) </w:t>
      </w:r>
      <w:r>
        <w:rPr>
          <w:rFonts w:cs="Times New Roman"/>
          <w:bCs/>
          <w:szCs w:val="24"/>
        </w:rPr>
        <w:t>Consequently, a</w:t>
      </w:r>
      <w:r w:rsidRPr="00FE539D">
        <w:rPr>
          <w:rFonts w:cs="Times New Roman"/>
          <w:bCs/>
          <w:szCs w:val="24"/>
        </w:rPr>
        <w:t xml:space="preserve">n action for a violation of a restriction must be commenced within five years after the </w:t>
      </w:r>
      <w:r>
        <w:rPr>
          <w:rFonts w:cs="Times New Roman"/>
          <w:bCs/>
          <w:szCs w:val="24"/>
        </w:rPr>
        <w:t>party</w:t>
      </w:r>
      <w:r w:rsidRPr="00FE539D">
        <w:rPr>
          <w:rFonts w:cs="Times New Roman"/>
          <w:bCs/>
          <w:szCs w:val="24"/>
        </w:rPr>
        <w:t xml:space="preserve"> enforcing the restriction discovers, or through the exercise of reasonable diligence, should have discovered, the violation. </w:t>
      </w:r>
      <w:r>
        <w:rPr>
          <w:rFonts w:cs="Times New Roman"/>
          <w:bCs/>
          <w:szCs w:val="24"/>
        </w:rPr>
        <w:t>[</w:t>
      </w:r>
      <w:r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Pr>
          <w:rFonts w:cs="Times New Roman"/>
          <w:bCs/>
          <w:szCs w:val="24"/>
        </w:rPr>
        <w:t>]</w:t>
      </w:r>
      <w:r w:rsidRPr="00FE539D">
        <w:rPr>
          <w:rFonts w:cs="Times New Roman"/>
          <w:bCs/>
          <w:szCs w:val="24"/>
        </w:rPr>
        <w:t xml:space="preserve"> (Civ. Code</w:t>
      </w:r>
      <w:r>
        <w:rPr>
          <w:rFonts w:cs="Times New Roman"/>
          <w:bCs/>
          <w:szCs w:val="24"/>
        </w:rPr>
        <w:t>,</w:t>
      </w:r>
      <w:r w:rsidRPr="00FE539D">
        <w:rPr>
          <w:rFonts w:cs="Times New Roman"/>
          <w:bCs/>
          <w:szCs w:val="24"/>
        </w:rPr>
        <w:t xml:space="preserve"> § 784.)</w:t>
      </w:r>
    </w:p>
    <w:p w14:paraId="120B2F8E" w14:textId="77777777" w:rsidR="003F0E15" w:rsidRDefault="00AD7EB8" w:rsidP="00AD7EB8">
      <w:pPr>
        <w:spacing w:after="264"/>
        <w:ind w:left="1080" w:hanging="360"/>
        <w:rPr>
          <w:rFonts w:cs="Times New Roman"/>
          <w:bCs/>
          <w:szCs w:val="24"/>
        </w:rPr>
      </w:pPr>
      <w:r>
        <w:rPr>
          <w:rFonts w:cs="Times New Roman"/>
          <w:bCs/>
          <w:szCs w:val="24"/>
        </w:rPr>
        <w:t xml:space="preserve">—  </w:t>
      </w:r>
      <w:r w:rsidRPr="00DB038E">
        <w:rPr>
          <w:rFonts w:cs="Times New Roman"/>
          <w:bCs/>
          <w:szCs w:val="24"/>
        </w:rPr>
        <w:t xml:space="preserve">A claim for </w:t>
      </w:r>
      <w:r w:rsidRPr="00977649">
        <w:rPr>
          <w:rFonts w:cs="Times New Roman"/>
          <w:b/>
          <w:szCs w:val="24"/>
        </w:rPr>
        <w:t>breaching a fiduciary duty</w:t>
      </w:r>
      <w:r w:rsidRPr="00DB038E">
        <w:rPr>
          <w:rFonts w:cs="Times New Roman"/>
          <w:bCs/>
          <w:szCs w:val="24"/>
        </w:rPr>
        <w:t xml:space="preserve"> must be brought within four years of the breach. (Code Civ. Proc., § 343; </w:t>
      </w:r>
      <w:r w:rsidRPr="00DB038E">
        <w:rPr>
          <w:rFonts w:cs="Times New Roman"/>
          <w:bCs/>
          <w:i/>
          <w:iCs/>
          <w:szCs w:val="24"/>
        </w:rPr>
        <w:t>William L. Lyon &amp; Assoc, Inc. v. Sup. Ct.</w:t>
      </w:r>
      <w:r w:rsidRPr="00DB038E">
        <w:rPr>
          <w:rFonts w:cs="Times New Roman"/>
          <w:bCs/>
          <w:szCs w:val="24"/>
        </w:rPr>
        <w:t xml:space="preserve"> (2012) 204 Cal.App.4th 1294, 1312.) If the breach of fiduciary duty stems from the defendant’s </w:t>
      </w:r>
      <w:r w:rsidRPr="00977649">
        <w:rPr>
          <w:rFonts w:cs="Times New Roman"/>
          <w:b/>
          <w:szCs w:val="24"/>
        </w:rPr>
        <w:t>fraud</w:t>
      </w:r>
      <w:r w:rsidRPr="00DB038E">
        <w:rPr>
          <w:rFonts w:cs="Times New Roman"/>
          <w:bCs/>
          <w:szCs w:val="24"/>
        </w:rPr>
        <w:t xml:space="preserve"> (even if pleaded as breach of fiduciary duty), which has a statute of limitations of only three years, the claim must be brought within three years. (Code Civ. Proc., § 338; </w:t>
      </w:r>
      <w:r w:rsidRPr="00DB038E">
        <w:rPr>
          <w:rFonts w:cs="Times New Roman"/>
          <w:bCs/>
          <w:i/>
          <w:iCs/>
          <w:szCs w:val="24"/>
        </w:rPr>
        <w:t>Professional Collection Consultants v. Lujan</w:t>
      </w:r>
      <w:r w:rsidRPr="00DB038E">
        <w:rPr>
          <w:rFonts w:cs="Times New Roman"/>
          <w:bCs/>
          <w:szCs w:val="24"/>
        </w:rPr>
        <w:t xml:space="preserve"> (2018) 23 Cal.App.5th 685, 691.)</w:t>
      </w:r>
    </w:p>
    <w:p w14:paraId="0043C08E" w14:textId="77777777" w:rsidR="003F0E15" w:rsidRDefault="00AD7EB8" w:rsidP="00AD7EB8">
      <w:pPr>
        <w:spacing w:after="264"/>
        <w:ind w:left="1080" w:hanging="360"/>
        <w:rPr>
          <w:rFonts w:cs="Times New Roman"/>
          <w:bCs/>
          <w:szCs w:val="24"/>
        </w:rPr>
      </w:pPr>
      <w:r>
        <w:rPr>
          <w:rFonts w:cs="Times New Roman"/>
          <w:bCs/>
          <w:szCs w:val="24"/>
        </w:rPr>
        <w:t xml:space="preserve">—  </w:t>
      </w:r>
      <w:r w:rsidR="00835D51">
        <w:rPr>
          <w:rFonts w:cs="Times New Roman"/>
          <w:bCs/>
          <w:szCs w:val="24"/>
        </w:rPr>
        <w:t xml:space="preserve">For </w:t>
      </w:r>
      <w:r w:rsidR="00835D51" w:rsidRPr="00835D51">
        <w:rPr>
          <w:rFonts w:cs="Times New Roman"/>
          <w:bCs/>
          <w:i/>
          <w:iCs/>
          <w:szCs w:val="24"/>
        </w:rPr>
        <w:t>property</w:t>
      </w:r>
      <w:r w:rsidRPr="00835D51">
        <w:rPr>
          <w:rFonts w:cs="Times New Roman"/>
          <w:bCs/>
          <w:i/>
          <w:iCs/>
          <w:szCs w:val="24"/>
        </w:rPr>
        <w:t xml:space="preserve"> damage</w:t>
      </w:r>
      <w:r w:rsidRPr="00977649">
        <w:rPr>
          <w:rFonts w:cs="Times New Roman"/>
          <w:bCs/>
          <w:szCs w:val="24"/>
        </w:rPr>
        <w:t xml:space="preserve"> resulting from a </w:t>
      </w:r>
      <w:r w:rsidRPr="00977649">
        <w:rPr>
          <w:rFonts w:cs="Times New Roman"/>
          <w:b/>
          <w:szCs w:val="24"/>
        </w:rPr>
        <w:t>nuisance</w:t>
      </w:r>
      <w:r w:rsidR="00835D51">
        <w:rPr>
          <w:rFonts w:cs="Times New Roman"/>
          <w:bCs/>
          <w:szCs w:val="24"/>
        </w:rPr>
        <w:t>, three years.</w:t>
      </w:r>
      <w:r w:rsidRPr="00977649">
        <w:rPr>
          <w:rFonts w:cs="Times New Roman"/>
          <w:bCs/>
          <w:szCs w:val="24"/>
        </w:rPr>
        <w:t xml:space="preserve"> (Code Civ. Proc., § 338(b); </w:t>
      </w:r>
      <w:r w:rsidRPr="00977649">
        <w:rPr>
          <w:rFonts w:cs="Times New Roman"/>
          <w:bCs/>
          <w:i/>
          <w:iCs/>
          <w:szCs w:val="24"/>
        </w:rPr>
        <w:t>Wilshire Westwood Assocs. v. Atlantic Richfield Co.</w:t>
      </w:r>
      <w:r w:rsidRPr="00977649">
        <w:rPr>
          <w:rFonts w:cs="Times New Roman"/>
          <w:bCs/>
          <w:szCs w:val="24"/>
        </w:rPr>
        <w:t xml:space="preserve"> (1993) 20 Cal.App.4th 732, 743-745.)</w:t>
      </w:r>
      <w:r>
        <w:rPr>
          <w:rFonts w:cs="Times New Roman"/>
          <w:bCs/>
          <w:szCs w:val="24"/>
        </w:rPr>
        <w:t xml:space="preserve"> </w:t>
      </w:r>
      <w:r w:rsidR="00835D51">
        <w:rPr>
          <w:rFonts w:cs="Times New Roman"/>
          <w:bCs/>
          <w:szCs w:val="24"/>
        </w:rPr>
        <w:t xml:space="preserve">For </w:t>
      </w:r>
      <w:r w:rsidR="00835D51" w:rsidRPr="00835D51">
        <w:rPr>
          <w:rFonts w:cs="Times New Roman"/>
          <w:bCs/>
          <w:i/>
          <w:iCs/>
          <w:szCs w:val="24"/>
        </w:rPr>
        <w:t>personal injuries</w:t>
      </w:r>
      <w:r w:rsidR="00835D51">
        <w:rPr>
          <w:rFonts w:cs="Times New Roman"/>
          <w:bCs/>
          <w:szCs w:val="24"/>
        </w:rPr>
        <w:t xml:space="preserve"> </w:t>
      </w:r>
      <w:r w:rsidRPr="00357552">
        <w:rPr>
          <w:rFonts w:cs="Times New Roman"/>
          <w:bCs/>
          <w:szCs w:val="24"/>
        </w:rPr>
        <w:t xml:space="preserve">resulting from a </w:t>
      </w:r>
      <w:r w:rsidRPr="003D7268">
        <w:rPr>
          <w:rFonts w:cs="Times New Roman"/>
          <w:bCs/>
          <w:szCs w:val="24"/>
        </w:rPr>
        <w:t>nuisance</w:t>
      </w:r>
      <w:r w:rsidR="00835D51">
        <w:rPr>
          <w:rFonts w:cs="Times New Roman"/>
          <w:bCs/>
          <w:szCs w:val="24"/>
        </w:rPr>
        <w:t>, two years</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7D055630" w14:textId="77777777" w:rsidR="003F0E15" w:rsidRDefault="00AD7EB8" w:rsidP="00AD7EB8">
      <w:pPr>
        <w:spacing w:after="264"/>
        <w:ind w:left="1350" w:hanging="27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w:t>
      </w:r>
    </w:p>
    <w:p w14:paraId="3372C3B5" w14:textId="77777777" w:rsidR="003F0E15" w:rsidRDefault="00AD7EB8" w:rsidP="00AD7EB8">
      <w:pPr>
        <w:spacing w:after="264"/>
        <w:ind w:left="1350" w:hanging="270"/>
        <w:rPr>
          <w:rFonts w:cs="Times New Roman"/>
          <w:bCs/>
          <w:szCs w:val="24"/>
        </w:rPr>
      </w:pPr>
      <w:r>
        <w:rPr>
          <w:rFonts w:cs="Times New Roman"/>
          <w:bCs/>
          <w:szCs w:val="24"/>
        </w:rPr>
        <w:t xml:space="preserve">•   </w:t>
      </w:r>
      <w:r w:rsidRPr="003D7268">
        <w:rPr>
          <w:rFonts w:cs="Times New Roman"/>
          <w:bCs/>
          <w:szCs w:val="24"/>
        </w:rPr>
        <w:t xml:space="preserve">For a </w:t>
      </w:r>
      <w:r w:rsidRPr="003D7268">
        <w:rPr>
          <w:rFonts w:cs="Times New Roman"/>
          <w:bCs/>
          <w:i/>
          <w:iCs/>
          <w:szCs w:val="24"/>
        </w:rPr>
        <w:t>permanent</w:t>
      </w:r>
      <w:r w:rsidRPr="003D7268">
        <w:rPr>
          <w:rFonts w:cs="Times New Roman"/>
          <w:bCs/>
          <w:szCs w:val="24"/>
        </w:rPr>
        <w:t xml:space="preserve"> nuisance (e.g., a building, fence, buried sewer, or structure located on the property of another), the three year statute of limitations begins to run when the nuisance first occurred.</w:t>
      </w:r>
    </w:p>
    <w:p w14:paraId="5485BFCC" w14:textId="77777777" w:rsidR="003F0E15" w:rsidRDefault="00AD7EB8" w:rsidP="00AD7EB8">
      <w:pPr>
        <w:spacing w:after="264"/>
        <w:ind w:left="1080" w:hanging="360"/>
        <w:rPr>
          <w:rFonts w:cs="Times New Roman"/>
          <w:bCs/>
          <w:szCs w:val="24"/>
        </w:rPr>
      </w:pPr>
      <w:r>
        <w:rPr>
          <w:rFonts w:cs="Times New Roman"/>
          <w:bCs/>
          <w:szCs w:val="24"/>
        </w:rPr>
        <w:t xml:space="preserve">—  </w:t>
      </w:r>
      <w:r w:rsidRPr="003B64C0">
        <w:rPr>
          <w:rFonts w:cs="Times New Roman"/>
          <w:bCs/>
          <w:szCs w:val="24"/>
        </w:rPr>
        <w:t xml:space="preserve">The statute of limitations governing a request for </w:t>
      </w:r>
      <w:r w:rsidRPr="00DD5197">
        <w:rPr>
          <w:rFonts w:cs="Times New Roman"/>
          <w:b/>
          <w:szCs w:val="24"/>
        </w:rPr>
        <w:t>declaratory relief</w:t>
      </w:r>
      <w:r w:rsidRPr="003B64C0">
        <w:rPr>
          <w:rFonts w:cs="Times New Roman"/>
          <w:bCs/>
          <w:szCs w:val="24"/>
        </w:rPr>
        <w:t xml:space="preserve">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p>
    <w:p w14:paraId="74B38961"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C76D88">
        <w:br/>
      </w:r>
      <w:r w:rsidR="003928F9">
        <w:t>Equitable Estoppel</w:t>
      </w:r>
    </w:p>
    <w:p w14:paraId="6D510513" w14:textId="77777777" w:rsidR="003F0E15" w:rsidRDefault="00BE74E8" w:rsidP="00BE74E8">
      <w:pPr>
        <w:spacing w:after="264"/>
        <w:ind w:left="1080" w:hanging="360"/>
        <w:rPr>
          <w:rFonts w:cs="Times New Roman"/>
          <w:bCs/>
          <w:szCs w:val="24"/>
        </w:rPr>
      </w:pPr>
      <w:r>
        <w:rPr>
          <w:rFonts w:cs="Times New Roman"/>
          <w:bCs/>
          <w:szCs w:val="24"/>
        </w:rPr>
        <w:t xml:space="preserve">—  </w:t>
      </w:r>
      <w:r w:rsidR="00207181" w:rsidRPr="00207181">
        <w:rPr>
          <w:rFonts w:cs="Times New Roman"/>
          <w:bCs/>
          <w:szCs w:val="24"/>
        </w:rPr>
        <w:t xml:space="preserve">If a party acts or makes statements to intentionally or deliberately lead someone else to believe that a particular thing is true, and the second party acts upon that belief, the first party cannot contradict his </w:t>
      </w:r>
      <w:r w:rsidR="00207181">
        <w:rPr>
          <w:rFonts w:cs="Times New Roman"/>
          <w:bCs/>
          <w:szCs w:val="24"/>
        </w:rPr>
        <w:t xml:space="preserve">or her </w:t>
      </w:r>
      <w:r w:rsidR="00207181" w:rsidRPr="00207181">
        <w:rPr>
          <w:rFonts w:cs="Times New Roman"/>
          <w:bCs/>
          <w:szCs w:val="24"/>
        </w:rPr>
        <w:t>prior statement or conduct. (</w:t>
      </w:r>
      <w:r w:rsidR="00207181" w:rsidRPr="00207181">
        <w:rPr>
          <w:rFonts w:cs="Times New Roman"/>
          <w:bCs/>
          <w:i/>
          <w:iCs/>
          <w:szCs w:val="24"/>
        </w:rPr>
        <w:t>Moncada v. West Coast Quartz Corp.</w:t>
      </w:r>
      <w:r w:rsidR="00207181" w:rsidRPr="00207181">
        <w:rPr>
          <w:rFonts w:cs="Times New Roman"/>
          <w:bCs/>
          <w:szCs w:val="24"/>
        </w:rPr>
        <w:t xml:space="preserve"> (2013) 221 Cal.App.4th 768, 782.)</w:t>
      </w:r>
    </w:p>
    <w:p w14:paraId="67160FD1" w14:textId="77777777" w:rsidR="003F0E15" w:rsidRDefault="004649A5" w:rsidP="00E13C80">
      <w:pPr>
        <w:pStyle w:val="Heading2"/>
        <w:spacing w:after="264"/>
      </w:pPr>
      <w:r w:rsidRPr="00274E8F">
        <w:lastRenderedPageBreak/>
        <w:fldChar w:fldCharType="begin"/>
      </w:r>
      <w:r w:rsidRPr="00274E8F">
        <w:instrText xml:space="preserve"> LISTNUM LegalDefault \l 2 </w:instrText>
      </w:r>
      <w:r w:rsidRPr="00274E8F">
        <w:fldChar w:fldCharType="end"/>
      </w:r>
      <w:r w:rsidR="00C76D88">
        <w:br/>
      </w:r>
      <w:r w:rsidR="003928F9">
        <w:t>Laches</w:t>
      </w:r>
    </w:p>
    <w:p w14:paraId="779CE197" w14:textId="77777777" w:rsidR="003F0E15" w:rsidRDefault="00BE74E8" w:rsidP="00BE74E8">
      <w:pPr>
        <w:spacing w:after="264"/>
        <w:ind w:left="1080" w:hanging="360"/>
        <w:rPr>
          <w:rFonts w:cs="Times New Roman"/>
          <w:szCs w:val="24"/>
        </w:rPr>
      </w:pPr>
      <w:r>
        <w:rPr>
          <w:rFonts w:cs="Times New Roman"/>
          <w:bCs/>
          <w:szCs w:val="24"/>
        </w:rPr>
        <w:t xml:space="preserve">—  </w:t>
      </w:r>
      <w:bookmarkStart w:id="29" w:name="_Hlk41464912"/>
      <w:r w:rsidR="003E0800" w:rsidRPr="003E0800">
        <w:rPr>
          <w:rFonts w:cs="Times New Roman"/>
          <w:bCs/>
          <w:szCs w:val="24"/>
        </w:rPr>
        <w:t>A plaintiff’s claim is barred under the doctrine of laches if</w:t>
      </w:r>
      <w:r w:rsidR="003E0800">
        <w:rPr>
          <w:rFonts w:cs="Times New Roman"/>
          <w:bCs/>
          <w:szCs w:val="24"/>
        </w:rPr>
        <w:t>:</w:t>
      </w:r>
      <w:r w:rsidR="003E0800" w:rsidRPr="003E0800">
        <w:rPr>
          <w:rFonts w:cs="Times New Roman"/>
          <w:bCs/>
          <w:szCs w:val="24"/>
        </w:rPr>
        <w:t xml:space="preserve"> (i) the plaintiff delayed in brin</w:t>
      </w:r>
      <w:r w:rsidR="003E0800">
        <w:rPr>
          <w:rFonts w:cs="Times New Roman"/>
          <w:bCs/>
          <w:szCs w:val="24"/>
        </w:rPr>
        <w:t>g</w:t>
      </w:r>
      <w:r w:rsidR="003E0800" w:rsidRPr="003E0800">
        <w:rPr>
          <w:rFonts w:cs="Times New Roman"/>
          <w:bCs/>
          <w:szCs w:val="24"/>
        </w:rPr>
        <w:t>ing his or her claim</w:t>
      </w:r>
      <w:r w:rsidR="003E0800">
        <w:rPr>
          <w:rFonts w:cs="Times New Roman"/>
          <w:bCs/>
          <w:szCs w:val="24"/>
        </w:rPr>
        <w:t xml:space="preserve">; </w:t>
      </w:r>
      <w:r w:rsidR="003E0800" w:rsidRPr="003E0800">
        <w:rPr>
          <w:rFonts w:cs="Times New Roman"/>
          <w:bCs/>
          <w:szCs w:val="24"/>
        </w:rPr>
        <w:t>(ii) the delay was unreasonable or inexcusable</w:t>
      </w:r>
      <w:r w:rsidR="003E0800">
        <w:rPr>
          <w:rFonts w:cs="Times New Roman"/>
          <w:bCs/>
          <w:szCs w:val="24"/>
        </w:rPr>
        <w:t xml:space="preserve">; and </w:t>
      </w:r>
      <w:r w:rsidR="003E0800" w:rsidRPr="003E0800">
        <w:rPr>
          <w:rFonts w:cs="Times New Roman"/>
          <w:bCs/>
          <w:szCs w:val="24"/>
        </w:rPr>
        <w:t>(iii) the defendant is prejudiced because of the delay.</w:t>
      </w:r>
      <w:bookmarkEnd w:id="29"/>
      <w:r w:rsidR="00B70E8D">
        <w:rPr>
          <w:rFonts w:cs="Times New Roman"/>
          <w:bCs/>
          <w:szCs w:val="24"/>
        </w:rPr>
        <w:t xml:space="preserve"> (</w:t>
      </w:r>
      <w:r w:rsidR="00B70E8D">
        <w:rPr>
          <w:rFonts w:cs="Times New Roman"/>
          <w:i/>
          <w:iCs/>
          <w:szCs w:val="24"/>
        </w:rPr>
        <w:t>In re Marriage of Parker</w:t>
      </w:r>
      <w:r w:rsidR="00B70E8D">
        <w:rPr>
          <w:rFonts w:cs="Times New Roman"/>
          <w:szCs w:val="24"/>
        </w:rPr>
        <w:t xml:space="preserve"> (2017) 14 Cal.App.5th 681, 688.)</w:t>
      </w:r>
    </w:p>
    <w:p w14:paraId="3F92268A"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C76D88">
        <w:br/>
      </w:r>
      <w:r w:rsidR="006F5B7E">
        <w:t>Assumption of Risk</w:t>
      </w:r>
    </w:p>
    <w:p w14:paraId="196ECC2F" w14:textId="77777777" w:rsidR="003F0E15" w:rsidRDefault="006F5B7E" w:rsidP="006F5B7E">
      <w:pPr>
        <w:spacing w:after="264"/>
        <w:ind w:left="1080" w:hanging="360"/>
        <w:rPr>
          <w:rFonts w:cs="Times New Roman"/>
          <w:bCs/>
          <w:szCs w:val="24"/>
        </w:rPr>
      </w:pPr>
      <w:r>
        <w:rPr>
          <w:rFonts w:cs="Times New Roman"/>
          <w:bCs/>
          <w:szCs w:val="24"/>
        </w:rPr>
        <w:t xml:space="preserve">—  </w:t>
      </w:r>
      <w:r w:rsidRPr="00603544">
        <w:rPr>
          <w:rFonts w:cs="Times New Roman"/>
          <w:bCs/>
          <w:szCs w:val="24"/>
        </w:rPr>
        <w:t xml:space="preserve">Prior to the harm occurring, the plaintiff expressly agreed to not hold the defendant liable for any harm that </w:t>
      </w:r>
      <w:r>
        <w:rPr>
          <w:rFonts w:cs="Times New Roman"/>
          <w:bCs/>
          <w:szCs w:val="24"/>
        </w:rPr>
        <w:t>might</w:t>
      </w:r>
      <w:r w:rsidRPr="00603544">
        <w:rPr>
          <w:rFonts w:cs="Times New Roman"/>
          <w:bCs/>
          <w:szCs w:val="24"/>
        </w:rPr>
        <w:t xml:space="preserve"> occur, including harm resulting from the defendant’s negligence. (</w:t>
      </w:r>
      <w:r w:rsidRPr="00603544">
        <w:rPr>
          <w:rFonts w:cs="Times New Roman"/>
          <w:bCs/>
          <w:i/>
          <w:iCs/>
          <w:szCs w:val="24"/>
        </w:rPr>
        <w:t>Sweat v. Big Time Auto Racing, Inc.</w:t>
      </w:r>
      <w:r w:rsidRPr="00603544">
        <w:rPr>
          <w:rFonts w:cs="Times New Roman"/>
          <w:bCs/>
          <w:szCs w:val="24"/>
        </w:rPr>
        <w:t xml:space="preserve"> (2004) 117 Cal.App.4th 1301, 1304.)</w:t>
      </w:r>
      <w:r>
        <w:rPr>
          <w:rFonts w:cs="Times New Roman"/>
          <w:bCs/>
          <w:szCs w:val="24"/>
        </w:rPr>
        <w:t xml:space="preserve"> This type of “assumption of risk” is </w:t>
      </w:r>
      <w:r w:rsidRPr="009D67F7">
        <w:rPr>
          <w:rFonts w:cs="Times New Roman"/>
          <w:bCs/>
          <w:i/>
          <w:iCs/>
          <w:szCs w:val="24"/>
        </w:rPr>
        <w:t>contractual</w:t>
      </w:r>
      <w:r>
        <w:rPr>
          <w:rFonts w:cs="Times New Roman"/>
          <w:bCs/>
          <w:szCs w:val="24"/>
        </w:rPr>
        <w:t xml:space="preserve"> in nature.</w:t>
      </w:r>
    </w:p>
    <w:p w14:paraId="5B078345" w14:textId="77777777" w:rsidR="003F0E15" w:rsidRDefault="006F5B7E" w:rsidP="006F5B7E">
      <w:pPr>
        <w:spacing w:after="264"/>
        <w:ind w:left="1350" w:hanging="270"/>
        <w:rPr>
          <w:rFonts w:cs="Times New Roman"/>
          <w:bCs/>
          <w:szCs w:val="24"/>
        </w:rPr>
      </w:pPr>
      <w:r>
        <w:rPr>
          <w:rFonts w:cs="Times New Roman"/>
          <w:bCs/>
          <w:szCs w:val="24"/>
        </w:rPr>
        <w:t xml:space="preserve">•   The doctrine of assumption of risk in the context of a </w:t>
      </w:r>
      <w:r w:rsidRPr="00F44153">
        <w:rPr>
          <w:rFonts w:cs="Times New Roman"/>
          <w:bCs/>
          <w:i/>
          <w:iCs/>
          <w:szCs w:val="24"/>
        </w:rPr>
        <w:t>negligence</w:t>
      </w:r>
      <w:r>
        <w:rPr>
          <w:rFonts w:cs="Times New Roman"/>
          <w:bCs/>
          <w:szCs w:val="24"/>
        </w:rPr>
        <w:t xml:space="preserve"> claim has been subsumed under the </w:t>
      </w:r>
      <w:r w:rsidRPr="007D0801">
        <w:rPr>
          <w:rFonts w:cs="Times New Roman"/>
          <w:bCs/>
          <w:szCs w:val="24"/>
        </w:rPr>
        <w:t>doctrine of comparative fault. (</w:t>
      </w:r>
      <w:r w:rsidRPr="00011051">
        <w:rPr>
          <w:rFonts w:cs="Times New Roman"/>
          <w:bCs/>
          <w:i/>
          <w:iCs/>
          <w:szCs w:val="24"/>
        </w:rPr>
        <w:t>Li v. Yellow Cab Co.</w:t>
      </w:r>
      <w:r w:rsidRPr="007D0801">
        <w:rPr>
          <w:rFonts w:cs="Times New Roman"/>
          <w:bCs/>
          <w:szCs w:val="24"/>
        </w:rPr>
        <w:t xml:space="preserve"> (1975) 13 Cal.3d 804, 826.)</w:t>
      </w:r>
    </w:p>
    <w:p w14:paraId="1B8AE505"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541AFC">
        <w:br/>
      </w:r>
      <w:r w:rsidR="0056352B">
        <w:t>Waiver</w:t>
      </w:r>
    </w:p>
    <w:p w14:paraId="74CC9BAC" w14:textId="77777777" w:rsidR="003F0E15" w:rsidRDefault="00BE74E8" w:rsidP="00BE74E8">
      <w:pPr>
        <w:spacing w:after="264"/>
        <w:ind w:left="1080" w:hanging="360"/>
        <w:rPr>
          <w:rFonts w:cs="Times New Roman"/>
          <w:bCs/>
          <w:szCs w:val="24"/>
        </w:rPr>
      </w:pPr>
      <w:r>
        <w:rPr>
          <w:rFonts w:cs="Times New Roman"/>
          <w:bCs/>
          <w:szCs w:val="24"/>
        </w:rPr>
        <w:t xml:space="preserve">—  </w:t>
      </w:r>
      <w:r w:rsidR="00204113">
        <w:rPr>
          <w:rFonts w:cs="Times New Roman"/>
          <w:bCs/>
          <w:szCs w:val="24"/>
        </w:rPr>
        <w:t xml:space="preserve">As an affirmative defense, waiver </w:t>
      </w:r>
      <w:r w:rsidR="008D24AB">
        <w:rPr>
          <w:rFonts w:cs="Times New Roman"/>
          <w:bCs/>
          <w:szCs w:val="24"/>
        </w:rPr>
        <w:t>i</w:t>
      </w:r>
      <w:r w:rsidR="00EE2E57">
        <w:rPr>
          <w:rFonts w:cs="Times New Roman"/>
          <w:bCs/>
          <w:szCs w:val="24"/>
        </w:rPr>
        <w:t>s a</w:t>
      </w:r>
      <w:r w:rsidR="008D24AB">
        <w:rPr>
          <w:rFonts w:cs="Times New Roman"/>
          <w:bCs/>
          <w:szCs w:val="24"/>
        </w:rPr>
        <w:t xml:space="preserve"> type of estoppel</w:t>
      </w:r>
      <w:r w:rsidR="00EE2E57">
        <w:rPr>
          <w:rFonts w:cs="Times New Roman"/>
          <w:bCs/>
          <w:szCs w:val="24"/>
        </w:rPr>
        <w:t>. I</w:t>
      </w:r>
      <w:r w:rsidR="008D24AB">
        <w:rPr>
          <w:rFonts w:cs="Times New Roman"/>
          <w:bCs/>
          <w:szCs w:val="24"/>
        </w:rPr>
        <w:t xml:space="preserve">t prevents </w:t>
      </w:r>
      <w:r w:rsidR="00C343DA">
        <w:rPr>
          <w:rFonts w:cs="Times New Roman"/>
          <w:bCs/>
          <w:szCs w:val="24"/>
        </w:rPr>
        <w:t>a plaintiff</w:t>
      </w:r>
      <w:r w:rsidR="008D24AB">
        <w:rPr>
          <w:rFonts w:cs="Times New Roman"/>
          <w:bCs/>
          <w:szCs w:val="24"/>
        </w:rPr>
        <w:t xml:space="preserve"> from relying on a right (typically</w:t>
      </w:r>
      <w:r w:rsidR="00C343DA">
        <w:rPr>
          <w:rFonts w:cs="Times New Roman"/>
          <w:bCs/>
          <w:szCs w:val="24"/>
        </w:rPr>
        <w:t xml:space="preserve"> contractual) that the plaintiff would otherwise have no problem being able to enforce. Often, such </w:t>
      </w:r>
      <w:r w:rsidR="00CC1C85">
        <w:rPr>
          <w:rFonts w:cs="Times New Roman"/>
          <w:bCs/>
          <w:szCs w:val="24"/>
        </w:rPr>
        <w:t xml:space="preserve">a </w:t>
      </w:r>
      <w:r w:rsidR="00C343DA">
        <w:rPr>
          <w:rFonts w:cs="Times New Roman"/>
          <w:bCs/>
          <w:szCs w:val="24"/>
        </w:rPr>
        <w:t xml:space="preserve">waiver </w:t>
      </w:r>
      <w:r w:rsidR="00CC1C85">
        <w:rPr>
          <w:rFonts w:cs="Times New Roman"/>
          <w:bCs/>
          <w:szCs w:val="24"/>
        </w:rPr>
        <w:t>exists</w:t>
      </w:r>
      <w:r w:rsidR="00C343DA">
        <w:rPr>
          <w:rFonts w:cs="Times New Roman"/>
          <w:bCs/>
          <w:szCs w:val="24"/>
        </w:rPr>
        <w:t xml:space="preserve"> because the plaintiff did or said something that made the defendant believe that the provision in question was no longer in effect, and defendant relied upon that action/statement. </w:t>
      </w:r>
      <w:r w:rsidR="00C20105">
        <w:rPr>
          <w:rFonts w:cs="Times New Roman"/>
          <w:bCs/>
          <w:szCs w:val="24"/>
        </w:rPr>
        <w:t>(</w:t>
      </w:r>
      <w:r w:rsidR="00C20105">
        <w:rPr>
          <w:rFonts w:cs="Times New Roman"/>
          <w:bCs/>
          <w:i/>
          <w:iCs/>
          <w:szCs w:val="24"/>
        </w:rPr>
        <w:t>Wind Dancer Production Group v. Walt Disney Pictures</w:t>
      </w:r>
      <w:r w:rsidR="00C20105">
        <w:rPr>
          <w:rFonts w:cs="Times New Roman"/>
          <w:bCs/>
          <w:szCs w:val="24"/>
        </w:rPr>
        <w:t xml:space="preserve"> (2017) 10 Cal.App.5th 56, 78.) </w:t>
      </w:r>
    </w:p>
    <w:p w14:paraId="218D947F"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541AFC">
        <w:br/>
      </w:r>
      <w:r w:rsidR="0056352B">
        <w:t>Failure to Mitigate</w:t>
      </w:r>
    </w:p>
    <w:p w14:paraId="79BA2F16" w14:textId="77777777" w:rsidR="003F0E15" w:rsidRDefault="00BE74E8" w:rsidP="00BE74E8">
      <w:pPr>
        <w:spacing w:after="264"/>
        <w:ind w:left="1080" w:hanging="360"/>
        <w:rPr>
          <w:rFonts w:cs="Times New Roman"/>
          <w:bCs/>
          <w:szCs w:val="24"/>
        </w:rPr>
      </w:pPr>
      <w:r>
        <w:rPr>
          <w:rFonts w:cs="Times New Roman"/>
          <w:bCs/>
          <w:szCs w:val="24"/>
        </w:rPr>
        <w:t xml:space="preserve">—  </w:t>
      </w:r>
      <w:r w:rsidR="007F5801" w:rsidRPr="007F5801">
        <w:rPr>
          <w:rFonts w:cs="Times New Roman"/>
          <w:bCs/>
          <w:szCs w:val="24"/>
        </w:rPr>
        <w:t xml:space="preserve">A plaintiff has a duty to take steps to mitigate damages and is </w:t>
      </w:r>
      <w:r w:rsidR="007F5801">
        <w:rPr>
          <w:rFonts w:cs="Times New Roman"/>
          <w:bCs/>
          <w:szCs w:val="24"/>
        </w:rPr>
        <w:t xml:space="preserve">therefore </w:t>
      </w:r>
      <w:r w:rsidR="007F5801" w:rsidRPr="007F5801">
        <w:rPr>
          <w:rFonts w:cs="Times New Roman"/>
          <w:bCs/>
          <w:szCs w:val="24"/>
        </w:rPr>
        <w:t xml:space="preserve">not entitled to damages that could have been avoided had </w:t>
      </w:r>
      <w:r w:rsidR="007F5801">
        <w:rPr>
          <w:rFonts w:cs="Times New Roman"/>
          <w:bCs/>
          <w:szCs w:val="24"/>
        </w:rPr>
        <w:t xml:space="preserve">the plaintiff taken those steps. </w:t>
      </w:r>
      <w:r w:rsidR="007F5801" w:rsidRPr="007F5801">
        <w:rPr>
          <w:rFonts w:cs="Times New Roman"/>
          <w:bCs/>
          <w:szCs w:val="24"/>
        </w:rPr>
        <w:t>(</w:t>
      </w:r>
      <w:r w:rsidR="007F5801" w:rsidRPr="007F5801">
        <w:rPr>
          <w:rFonts w:cs="Times New Roman"/>
          <w:bCs/>
          <w:i/>
          <w:iCs/>
          <w:szCs w:val="24"/>
        </w:rPr>
        <w:t>Agam v. Gavra</w:t>
      </w:r>
      <w:r w:rsidR="007F5801" w:rsidRPr="007F5801">
        <w:rPr>
          <w:rFonts w:cs="Times New Roman"/>
          <w:bCs/>
          <w:szCs w:val="24"/>
        </w:rPr>
        <w:t xml:space="preserve"> (2015) 236 Cal.App.4th 91, 111</w:t>
      </w:r>
      <w:r w:rsidR="007F5801">
        <w:rPr>
          <w:rFonts w:cs="Times New Roman"/>
          <w:bCs/>
          <w:szCs w:val="24"/>
        </w:rPr>
        <w:t>.</w:t>
      </w:r>
      <w:r w:rsidR="007F5801" w:rsidRPr="007F5801">
        <w:rPr>
          <w:rFonts w:cs="Times New Roman"/>
          <w:bCs/>
          <w:szCs w:val="24"/>
        </w:rPr>
        <w:t>)</w:t>
      </w:r>
    </w:p>
    <w:p w14:paraId="73BF77C5" w14:textId="77777777" w:rsidR="003F0E15" w:rsidRDefault="004649A5" w:rsidP="00E13C80">
      <w:pPr>
        <w:pStyle w:val="Heading2"/>
        <w:spacing w:after="264"/>
      </w:pPr>
      <w:r w:rsidRPr="00274E8F">
        <w:lastRenderedPageBreak/>
        <w:fldChar w:fldCharType="begin"/>
      </w:r>
      <w:r w:rsidRPr="00274E8F">
        <w:instrText xml:space="preserve"> LISTNUM LegalDefault \l 2 </w:instrText>
      </w:r>
      <w:r w:rsidRPr="00274E8F">
        <w:fldChar w:fldCharType="end"/>
      </w:r>
      <w:r w:rsidR="00541AFC">
        <w:br/>
      </w:r>
      <w:r w:rsidR="0056352B">
        <w:t>Lack of Damages</w:t>
      </w:r>
    </w:p>
    <w:p w14:paraId="4AAD43CD" w14:textId="77777777" w:rsidR="003F0E15" w:rsidRDefault="00BE74E8" w:rsidP="00BE74E8">
      <w:pPr>
        <w:spacing w:after="264"/>
        <w:ind w:left="1080" w:hanging="360"/>
        <w:rPr>
          <w:rFonts w:cs="Times New Roman"/>
          <w:bCs/>
          <w:szCs w:val="24"/>
        </w:rPr>
      </w:pPr>
      <w:r>
        <w:rPr>
          <w:rFonts w:cs="Times New Roman"/>
          <w:bCs/>
          <w:szCs w:val="24"/>
        </w:rPr>
        <w:t xml:space="preserve">—  </w:t>
      </w:r>
      <w:r w:rsidR="007F5801">
        <w:rPr>
          <w:rFonts w:cs="Times New Roman"/>
          <w:bCs/>
          <w:szCs w:val="24"/>
        </w:rPr>
        <w:t>Damages is a necessary element in most causes of action. Consequently, if the plaintiff hasn’t been damaged, it’s almost certain that the plaintiff cannot prevail.</w:t>
      </w:r>
    </w:p>
    <w:p w14:paraId="699DE544"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541AFC">
        <w:br/>
      </w:r>
      <w:r w:rsidR="0056352B">
        <w:t>No Causation</w:t>
      </w:r>
    </w:p>
    <w:p w14:paraId="390BA966" w14:textId="77777777" w:rsidR="003F0E15" w:rsidRDefault="00BE74E8" w:rsidP="00BE74E8">
      <w:pPr>
        <w:spacing w:after="264"/>
        <w:ind w:left="1080" w:hanging="360"/>
        <w:rPr>
          <w:rFonts w:cs="Times New Roman"/>
          <w:bCs/>
          <w:szCs w:val="24"/>
        </w:rPr>
      </w:pPr>
      <w:r>
        <w:rPr>
          <w:rFonts w:cs="Times New Roman"/>
          <w:bCs/>
          <w:szCs w:val="24"/>
        </w:rPr>
        <w:t xml:space="preserve">—  </w:t>
      </w:r>
      <w:r w:rsidR="007F5801" w:rsidRPr="007F5801">
        <w:rPr>
          <w:rFonts w:cs="Times New Roman"/>
          <w:bCs/>
          <w:szCs w:val="24"/>
        </w:rPr>
        <w:t>The defendant is not liable for the plaintiff’s damages if another’s conduct was the cause of the harm. (</w:t>
      </w:r>
      <w:r w:rsidR="007F5801" w:rsidRPr="007F5801">
        <w:rPr>
          <w:rFonts w:cs="Times New Roman"/>
          <w:bCs/>
          <w:i/>
          <w:iCs/>
          <w:szCs w:val="24"/>
        </w:rPr>
        <w:t>Martinez v. Vintage Petroleum, Inc.</w:t>
      </w:r>
      <w:r w:rsidR="007F5801" w:rsidRPr="007F5801">
        <w:rPr>
          <w:rFonts w:cs="Times New Roman"/>
          <w:bCs/>
          <w:szCs w:val="24"/>
        </w:rPr>
        <w:t xml:space="preserve"> (1998) 68 Cal.App.4th 695, 700</w:t>
      </w:r>
      <w:r w:rsidR="007F5801">
        <w:rPr>
          <w:rFonts w:cs="Times New Roman"/>
          <w:bCs/>
          <w:szCs w:val="24"/>
        </w:rPr>
        <w:t xml:space="preserve"> </w:t>
      </w:r>
      <w:r w:rsidR="007F5801" w:rsidRPr="007F5801">
        <w:rPr>
          <w:rFonts w:cs="Times New Roman"/>
          <w:bCs/>
          <w:szCs w:val="24"/>
        </w:rPr>
        <w:t>[“</w:t>
      </w:r>
      <w:r w:rsidR="007F5801">
        <w:rPr>
          <w:rFonts w:cs="Times New Roman"/>
          <w:bCs/>
          <w:szCs w:val="24"/>
        </w:rPr>
        <w:t>i</w:t>
      </w:r>
      <w:r w:rsidR="007F5801" w:rsidRPr="007F5801">
        <w:rPr>
          <w:rFonts w:cs="Times New Roman"/>
          <w:bCs/>
          <w:szCs w:val="24"/>
        </w:rPr>
        <w:t>ntervening negligence cuts off liability</w:t>
      </w:r>
      <w:r w:rsidR="007F5801">
        <w:rPr>
          <w:rFonts w:cs="Times New Roman"/>
          <w:bCs/>
          <w:szCs w:val="24"/>
        </w:rPr>
        <w:t xml:space="preserve"> (i.e., it becomes a </w:t>
      </w:r>
      <w:r w:rsidR="007F5801" w:rsidRPr="007F5801">
        <w:rPr>
          <w:rFonts w:cs="Times New Roman"/>
          <w:bCs/>
          <w:szCs w:val="24"/>
        </w:rPr>
        <w:t>superseding cause</w:t>
      </w:r>
      <w:r w:rsidR="007F5801">
        <w:rPr>
          <w:rFonts w:cs="Times New Roman"/>
          <w:bCs/>
          <w:szCs w:val="24"/>
        </w:rPr>
        <w:t>) if the intervening cause, and its results, are not reasonably foreseeable].)</w:t>
      </w:r>
    </w:p>
    <w:p w14:paraId="36B20563"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541AFC">
        <w:br/>
      </w:r>
      <w:r w:rsidR="0056352B">
        <w:t>Consent</w:t>
      </w:r>
    </w:p>
    <w:p w14:paraId="276C75E3" w14:textId="77777777" w:rsidR="003F0E15" w:rsidRDefault="00BE74E8" w:rsidP="00BE74E8">
      <w:pPr>
        <w:spacing w:after="264"/>
        <w:ind w:left="1080" w:hanging="360"/>
        <w:rPr>
          <w:rFonts w:cs="Times New Roman"/>
          <w:bCs/>
          <w:szCs w:val="24"/>
        </w:rPr>
      </w:pPr>
      <w:r>
        <w:rPr>
          <w:rFonts w:cs="Times New Roman"/>
          <w:bCs/>
          <w:szCs w:val="24"/>
        </w:rPr>
        <w:t xml:space="preserve">—  </w:t>
      </w:r>
      <w:r w:rsidR="00AC6338" w:rsidRPr="00AC6338">
        <w:rPr>
          <w:rFonts w:cs="Times New Roman"/>
          <w:bCs/>
          <w:szCs w:val="24"/>
        </w:rPr>
        <w:t xml:space="preserve">The defendant is not liable for the plaintiff’s harm if the plaintiff consented to the conduct prior to the harm-producing conduct’s occurrence. (Civ. Code, §§ 3515, 3516; </w:t>
      </w:r>
      <w:r w:rsidR="00AC6338" w:rsidRPr="00C45CEA">
        <w:rPr>
          <w:rFonts w:cs="Times New Roman"/>
          <w:bCs/>
          <w:i/>
          <w:iCs/>
          <w:szCs w:val="24"/>
        </w:rPr>
        <w:t>Austin B. v. Escondido Union School Dist.</w:t>
      </w:r>
      <w:r w:rsidR="00AC6338" w:rsidRPr="00AC6338">
        <w:rPr>
          <w:rFonts w:cs="Times New Roman"/>
          <w:bCs/>
          <w:szCs w:val="24"/>
        </w:rPr>
        <w:t xml:space="preserve"> (2007) 149 Cal.App.4th 860, 875; </w:t>
      </w:r>
      <w:r w:rsidR="00AC6338" w:rsidRPr="00C45CEA">
        <w:rPr>
          <w:rFonts w:cs="Times New Roman"/>
          <w:bCs/>
          <w:i/>
          <w:iCs/>
          <w:szCs w:val="24"/>
        </w:rPr>
        <w:t>Royer v. Steinberg</w:t>
      </w:r>
      <w:r w:rsidR="00AC6338" w:rsidRPr="00AC6338">
        <w:rPr>
          <w:rFonts w:cs="Times New Roman"/>
          <w:bCs/>
          <w:szCs w:val="24"/>
        </w:rPr>
        <w:t xml:space="preserve"> (1979) 90 Cal.App.3d 490, 498.)</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2D42C1A0" w14:textId="56EB2880" w:rsidR="003F0E15" w:rsidRDefault="008B55CB" w:rsidP="00124867">
      <w:pPr>
        <w:spacing w:after="264"/>
        <w:rPr>
          <w:rFonts w:cs="Times New Roman"/>
          <w:bCs/>
          <w:szCs w:val="24"/>
        </w:rPr>
      </w:pPr>
      <w:r>
        <w:rPr>
          <w:rFonts w:cs="Times New Roman"/>
          <w:bCs/>
          <w:szCs w:val="24"/>
        </w:rPr>
        <w:lastRenderedPageBreak/>
        <w:t>If this dispute is adjudicated, the prevailing party will be entitled to attorneys’ fees and costs under the Davis-Stirling Act. I</w:t>
      </w:r>
      <w:r w:rsidR="00C87DA9" w:rsidRPr="00CB094B">
        <w:rPr>
          <w:rFonts w:cs="Times New Roman"/>
          <w:bCs/>
          <w:szCs w:val="24"/>
        </w:rPr>
        <w:t>n addition, the prevailing part</w:t>
      </w:r>
      <w:r w:rsidR="00714E08">
        <w:rPr>
          <w:rFonts w:cs="Times New Roman"/>
          <w:bCs/>
          <w:szCs w:val="24"/>
        </w:rPr>
        <w:t>y</w:t>
      </w:r>
      <w:r w:rsidR="00C87DA9" w:rsidRPr="00CB094B">
        <w:rPr>
          <w:rFonts w:cs="Times New Roman"/>
          <w:bCs/>
          <w:szCs w:val="24"/>
        </w:rPr>
        <w:t xml:space="preserve"> in any such litigation will also be entitled to their attorneys’ fees and costs under </w:t>
      </w:r>
      <w:r>
        <w:rPr>
          <w:rFonts w:cs="Times New Roman"/>
          <w:bCs/>
          <w:szCs w:val="24"/>
        </w:rPr>
        <w:t>Article XIII, Section 13.05</w:t>
      </w:r>
      <w:r w:rsidR="00C87DA9" w:rsidRPr="00CB094B">
        <w:rPr>
          <w:rFonts w:cs="Times New Roman"/>
          <w:bCs/>
          <w:szCs w:val="24"/>
        </w:rPr>
        <w:t xml:space="preserve"> of the CC&amp;Rs.</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3890A23A" w14:textId="576B406F" w:rsidR="00CF3385" w:rsidRDefault="00CF3385" w:rsidP="00CF3385">
      <w:pPr>
        <w:spacing w:after="264"/>
      </w:pPr>
      <w:r>
        <w:t>Based upon the information/evidence that Client has provided thus far, it appears that the opposing party has standing to pursue each of the claims alleged against Client.</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None at this time.</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Park Estates Manor v. Son</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