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Kushner v. Anderson</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WB</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Breach of Implied Covenant to Perform Work in a Good and Competent Manner</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
          In approximately late March 2022, Client hired Canyon Construction Inc. (“CCI”) to install an outdoor barbeque and French doors at Client’s property in San Diego County. CCI quoted $35,000 for the project but subsequently charged Client $102,000. After the work was completed Client discovered that the gas lines that CCI installed were not code compliant. Addressing this issue required removal of the BBQ and gutting of the fireplace, among other work. The doors were not adequately water-proofed, resulting in water intrusion and resultant damage to interior floors.
          <w:br/>
          <w:br/>
          Client wants to be reimbursed the $102,000 he paid CCI and be compensated for the costs incurred in addressing CCI’s defective work.
          <w:br/>
          <w:br/>
          Client has potential claims for breach of contract, negligence, and breach of implied warranty.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6C1630" w:rsidP="00246DB4">
            <w:pPr>
              <w:spacing w:afterLines="0" w:after="0"/>
              <w:rPr>
                <w:rFonts w:ascii="Times New Roman" w:hAnsi="Times New Roman" w:cs="Times New Roman"/>
                <w:sz w:val="20"/>
                <w:szCs w:val="20"/>
              </w:rPr>
            </w:pPr>
            <w:r>
              <w:rPr>
                <w:rFonts w:cs="Times New Roman"/>
                <w:sz w:val="20"/>
                <w:szCs w:val="20"/>
              </w:rPr>
              <w:t>Robert Kushner</w:t>
            </w:r>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Canyon Construction Inc.</w:t>
            </w:r>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Defendant</w:t>
            </w:r>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Gary David Anderson ("Anderson")</w:t>
            </w:r>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Defendant</w:t>
            </w:r>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4709D6">
        <w:rPr>
          <w:szCs w:val="24"/>
        </w:rPr>
        <w:t>RESERVED</w:t>
      </w:r>
      <w:proofErr w:type="spellEnd"/>
      <w:bookmarkEnd w:id="4"/>
    </w:p>
    <w:p w14:paraId="32312727" w14:textId="55CC841E" w:rsidR="004709D6" w:rsidRDefault="004709D6" w:rsidP="004709D6">
      <w:pPr>
        <w:spacing w:after="264"/>
        <w:rPr>
          <w:rFonts w:cs="Times New Roman"/>
        </w:rPr>
      </w:pPr>
      <w:r>
        <w:rPr>
          <w:rFonts w:cs="Times New Roman"/>
        </w:rPr>
        <w:t>RESERVED.</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Attorney’s fees could be sought under Business and Professions Code section 7160 to the extent that Client was induced to contract with CCI based upon "false or fraudulent representations or false statements knowingly made." Whether any such false statements were made should be explored with Client.</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Ask Client to provide all estimates, invoices, construction contracts, etc. regarding Client’s efforts to repair the defects.</w:t>
      </w:r>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r>
        <w:rPr>
          <w:rFonts w:cs="Times New Roman"/>
          <w:szCs w:val="24"/>
        </w:rPr>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6" w:name="_Toc53565518"/>
      <w:bookmarkStart w:id="107"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6"/>
      <w:bookmarkEnd w:id="107"/>
    </w:p>
    <w:p w14:paraId="282BE646" w14:textId="77777777" w:rsidR="0079009E" w:rsidRDefault="0079009E" w:rsidP="0079009E">
      <w:pPr>
        <w:spacing w:after="264"/>
      </w:pPr>
      <w:bookmarkStart w:id="108"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8"/>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9" w:name="_Toc130368759"/>
      <w:r w:rsidRPr="00020852">
        <w:fldChar w:fldCharType="end"/>
      </w:r>
      <w:r w:rsidR="000B75CA">
        <w:br/>
      </w:r>
      <w:r>
        <w:t>Breach of Implied Covenant to Perform Work in a Good and Competent Manner</w:t>
      </w:r>
      <w:bookmarkEnd w:id="139"/>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szCs w:val="24"/>
        </w:rPr>
        <w:t>Breach of Implied Covenant to Perform Work in a Good and Competent Manner</w:t>
      </w:r>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Pr>
          <w:rFonts w:cs="Times New Roman"/>
          <w:i/>
          <w:iCs/>
          <w:szCs w:val="24"/>
          <w:highlight w:val="green"/>
        </w:rPr>
        <w:t>breach of implied covenant to perform work in a good and competent manner</w:t>
      </w:r>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December 15, 2024</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r>
        <w:rPr>
          <w:rFonts w:cs="Times New Roman"/>
          <w:bCs/>
          <w:szCs w:val="24"/>
        </w:rPr>
        <w:t>San Diego</w:t>
      </w:r>
      <w:r>
        <w:rPr>
          <w:rFonts w:cs="Times New Roman"/>
          <w:bCs/>
          <w:szCs w:val="24"/>
        </w:rPr>
        <w:t xml:space="preserve"> County.</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031055CF" w14:textId="5CA252A1" w:rsidR="00977CF1" w:rsidRDefault="006C1630" w:rsidP="00977CF1">
      <w:pPr>
        <w:spacing w:after="264"/>
      </w:pPr>
      <w:r>
        <w:rPr>
          <w:rFonts w:cs="Times New Roman"/>
          <w:szCs w:val="24"/>
        </w:rPr>
        <w:t>San Diego</w:t>
      </w:r>
      <w:r w:rsidR="005916C1">
        <w:rPr>
          <w:rFonts w:cs="Times New Roman"/>
          <w:szCs w:val="24"/>
        </w:rPr>
        <w:t xml:space="preserve"> County is the correct venue for this lawsuit.</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bookmarkStart w:id="218" w:name="_Hlk130541436"/>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3"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3"/>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Expert testimony would not be required until deep into any litigation. However, retaining an expert at the outset (i.e., pre-lawsuit filing) could prove valuable and enable the assertion of fraud-based claims.</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Kushner v. Anderson</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