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Lench v. Denny Manor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JG</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TBD</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CF4167" w:rsidP="00B83DD4">
            <w:pPr>
              <w:spacing w:afterLines="0" w:after="0"/>
              <w:rPr>
                <w:rFonts w:ascii="Times New Roman" w:hAnsi="Times New Roman" w:cs="Times New Roman"/>
                <w:sz w:val="20"/>
                <w:szCs w:val="20"/>
              </w:rPr>
            </w:pPr>
            <w:r>
              <w:rPr>
                <w:rFonts w:cs="Times New Roman"/>
                <w:sz w:val="20"/>
                <w:szCs w:val="20"/>
              </w:rPr>
              <w:t>Lisa and Raleigh Lench</w:t>
            </w:r>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Denny Manor Homeowners Association</w:t>
            </w:r>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HOA</w:t>
            </w:r>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TBD</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TBD</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6A6F8375" w14:textId="2AB5E095" w:rsidR="00AE2E67" w:rsidRPr="00020852" w:rsidRDefault="00A134AB" w:rsidP="004F5196">
      <w:pPr>
        <w:spacing w:after="264"/>
        <w:rPr>
          <w:rFonts w:cs="Times New Roman"/>
        </w:rPr>
      </w:pPr>
      <w:r w:rsidRPr="00020852">
        <w:rPr>
          <w:rFonts w:cs="Times New Roman"/>
        </w:rPr>
        <w:t xml:space="preserve">Client believes that </w:t>
      </w:r>
      <w:r w:rsidR="006C506D" w:rsidRPr="00020852">
        <w:rPr>
          <w:rFonts w:cs="Times New Roman"/>
        </w:rPr>
        <w:t xml:space="preserve">one or more third parties has possession, custody, control, and/or knowledge of the following documents/information. </w:t>
      </w:r>
    </w:p>
    <w:tbl>
      <w:tblPr>
        <w:tblStyle w:val="TableGrid"/>
        <w:tblW w:w="0" w:type="auto"/>
        <w:tblLayout w:type="fixed"/>
        <w:tblCellMar>
          <w:left w:w="115" w:type="dxa"/>
          <w:right w:w="115" w:type="dxa"/>
        </w:tblCellMar>
        <w:tblLook w:val="04A0" w:firstRow="1" w:lastRow="0" w:firstColumn="1" w:lastColumn="0" w:noHBand="0" w:noVBand="1"/>
      </w:tblPr>
      <w:tblGrid>
        <w:gridCol w:w="3415"/>
        <w:gridCol w:w="4410"/>
        <w:gridCol w:w="2880"/>
      </w:tblGrid>
      <w:tr w:rsidR="00D85864" w:rsidRPr="00020852" w14:paraId="2301A002" w14:textId="77777777" w:rsidTr="000A7FAF">
        <w:trPr>
          <w:cantSplit/>
        </w:trPr>
        <w:tc>
          <w:tcPr>
            <w:tcW w:w="3415" w:type="dxa"/>
            <w:shd w:val="clear" w:color="auto" w:fill="B4C6E7" w:themeFill="accent1" w:themeFillTint="66"/>
          </w:tcPr>
          <w:p w14:paraId="19D71081" w14:textId="77777777" w:rsidR="00D85864" w:rsidRPr="00020852" w:rsidRDefault="00D85864" w:rsidP="00CB4C47">
            <w:pPr>
              <w:spacing w:afterLines="0" w:after="0"/>
              <w:rPr>
                <w:rFonts w:ascii="Times New Roman" w:hAnsi="Times New Roman" w:cs="Times New Roman"/>
                <w:b/>
              </w:rPr>
            </w:pPr>
          </w:p>
          <w:p w14:paraId="6AA0DCC2" w14:textId="08636F0C"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Document/Information</w:t>
            </w:r>
          </w:p>
          <w:p w14:paraId="3841EBA6" w14:textId="77777777" w:rsidR="00D85864" w:rsidRPr="00020852" w:rsidRDefault="00D85864" w:rsidP="00CB4C47">
            <w:pPr>
              <w:spacing w:afterLines="0" w:after="0"/>
              <w:rPr>
                <w:rFonts w:ascii="Times New Roman" w:hAnsi="Times New Roman" w:cs="Times New Roman"/>
                <w:b/>
              </w:rPr>
            </w:pPr>
          </w:p>
        </w:tc>
        <w:tc>
          <w:tcPr>
            <w:tcW w:w="4410" w:type="dxa"/>
            <w:shd w:val="clear" w:color="auto" w:fill="B4C6E7" w:themeFill="accent1" w:themeFillTint="66"/>
          </w:tcPr>
          <w:p w14:paraId="53FA0BBB" w14:textId="77777777" w:rsidR="00D85864" w:rsidRPr="00020852" w:rsidRDefault="00D85864" w:rsidP="00CB4C47">
            <w:pPr>
              <w:spacing w:afterLines="0" w:after="0"/>
              <w:rPr>
                <w:rFonts w:ascii="Times New Roman" w:hAnsi="Times New Roman" w:cs="Times New Roman"/>
                <w:b/>
              </w:rPr>
            </w:pPr>
          </w:p>
          <w:p w14:paraId="3AA0E943" w14:textId="7B0023E9"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Significance of the Document/Information</w:t>
            </w:r>
          </w:p>
        </w:tc>
        <w:tc>
          <w:tcPr>
            <w:tcW w:w="2880" w:type="dxa"/>
            <w:shd w:val="clear" w:color="auto" w:fill="B4C6E7" w:themeFill="accent1" w:themeFillTint="66"/>
          </w:tcPr>
          <w:p w14:paraId="4A21917F" w14:textId="77777777" w:rsidR="00D85864" w:rsidRPr="00020852" w:rsidRDefault="00D85864" w:rsidP="00CB4C47">
            <w:pPr>
              <w:spacing w:afterLines="0" w:after="0"/>
              <w:rPr>
                <w:rFonts w:ascii="Times New Roman" w:hAnsi="Times New Roman" w:cs="Times New Roman"/>
                <w:b/>
              </w:rPr>
            </w:pPr>
          </w:p>
          <w:p w14:paraId="04D78D08" w14:textId="7020BE47"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Identity of Third Party</w:t>
            </w:r>
          </w:p>
          <w:p w14:paraId="5C4A21DA" w14:textId="77777777" w:rsidR="00D85864" w:rsidRPr="00020852" w:rsidRDefault="00D85864" w:rsidP="00CB4C47">
            <w:pPr>
              <w:spacing w:afterLines="0" w:after="0"/>
              <w:rPr>
                <w:rFonts w:ascii="Times New Roman" w:hAnsi="Times New Roman" w:cs="Times New Roman"/>
                <w:b/>
              </w:rPr>
            </w:pPr>
          </w:p>
        </w:tc>
      </w:tr>
      <w:tr w:rsidR="00D85864" w:rsidRPr="00020852" w14:paraId="70CD085B" w14:textId="77777777" w:rsidTr="000A7FAF">
        <w:trPr>
          <w:cantSplit/>
        </w:trPr>
        <w:tc>
          <w:tcPr>
            <w:tcW w:w="3415" w:type="dxa"/>
            <w:vAlign w:val="center"/>
          </w:tcPr>
          <w:p w14:paraId="74BCF475" w14:textId="77777777" w:rsidR="00D85864" w:rsidRPr="00020852" w:rsidRDefault="00D85864" w:rsidP="00CB4C47">
            <w:pPr>
              <w:spacing w:afterLines="0" w:after="0"/>
              <w:rPr>
                <w:rFonts w:ascii="Times New Roman" w:hAnsi="Times New Roman" w:cs="Times New Roman"/>
                <w:sz w:val="20"/>
                <w:szCs w:val="20"/>
              </w:rPr>
            </w:pPr>
          </w:p>
          <w:p w14:paraId="0FFB169B" w14:textId="51B71D19"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Minutes from the executive session dated 3/5/20 re Client’s disciplinary hearing.</w:t>
            </w:r>
          </w:p>
          <w:p w14:paraId="2E9EF394"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2F3423E" w14:textId="77777777" w:rsidR="00D85864" w:rsidRPr="00020852" w:rsidRDefault="00D85864" w:rsidP="00CB4C47">
            <w:pPr>
              <w:spacing w:afterLines="0" w:after="0"/>
              <w:rPr>
                <w:rFonts w:ascii="Times New Roman" w:hAnsi="Times New Roman" w:cs="Times New Roman"/>
                <w:sz w:val="20"/>
                <w:szCs w:val="20"/>
              </w:rPr>
            </w:pPr>
          </w:p>
          <w:p w14:paraId="1B3E3484" w14:textId="61286E21" w:rsidR="007A6CDE"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These minutes, which are not available to non-directors outside the context of litigation, will show that the Board acted arbitrarily and capriciously in disciplining Client.</w:t>
            </w:r>
          </w:p>
          <w:p w14:paraId="0128739E"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7E82B2D" w14:textId="4FA6A4A1"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PMC Management</w:t>
            </w:r>
          </w:p>
        </w:tc>
      </w:tr>
      <w:tr w:rsidR="00D85864" w:rsidRPr="00020852" w14:paraId="61A015AD" w14:textId="77777777" w:rsidTr="000A7FAF">
        <w:trPr>
          <w:cantSplit/>
        </w:trPr>
        <w:tc>
          <w:tcPr>
            <w:tcW w:w="3415" w:type="dxa"/>
            <w:vAlign w:val="center"/>
          </w:tcPr>
          <w:p w14:paraId="04C67A72" w14:textId="77777777" w:rsidR="00D85864" w:rsidRPr="00020852" w:rsidRDefault="00D85864" w:rsidP="00CB4C47">
            <w:pPr>
              <w:spacing w:afterLines="0" w:after="0"/>
              <w:rPr>
                <w:rFonts w:ascii="Times New Roman" w:hAnsi="Times New Roman" w:cs="Times New Roman"/>
                <w:sz w:val="20"/>
                <w:szCs w:val="20"/>
              </w:rPr>
            </w:pPr>
          </w:p>
          <w:p w14:paraId="4D540828"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2BC9CED5"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8109538" w14:textId="77777777" w:rsidR="00D85864" w:rsidRPr="00020852" w:rsidRDefault="00D85864" w:rsidP="00CB4C47">
            <w:pPr>
              <w:spacing w:afterLines="0" w:after="0"/>
              <w:rPr>
                <w:rFonts w:ascii="Times New Roman" w:hAnsi="Times New Roman" w:cs="Times New Roman"/>
                <w:sz w:val="20"/>
                <w:szCs w:val="20"/>
              </w:rPr>
            </w:pPr>
          </w:p>
          <w:p w14:paraId="2F398F5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E3DACBD"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2F18B337" w14:textId="679E8084"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27245E58" w14:textId="77777777" w:rsidTr="000A7FAF">
        <w:trPr>
          <w:cantSplit/>
        </w:trPr>
        <w:tc>
          <w:tcPr>
            <w:tcW w:w="3415" w:type="dxa"/>
            <w:vAlign w:val="center"/>
          </w:tcPr>
          <w:p w14:paraId="556C7FBD" w14:textId="77777777" w:rsidR="00D85864" w:rsidRPr="00020852" w:rsidRDefault="00D85864" w:rsidP="00CB4C47">
            <w:pPr>
              <w:spacing w:afterLines="0" w:after="0"/>
              <w:rPr>
                <w:rFonts w:ascii="Times New Roman" w:hAnsi="Times New Roman" w:cs="Times New Roman"/>
                <w:sz w:val="20"/>
                <w:szCs w:val="20"/>
              </w:rPr>
            </w:pPr>
          </w:p>
          <w:p w14:paraId="3E6D5319"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319ACF8"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0B0D5321" w14:textId="77777777" w:rsidR="00D85864" w:rsidRPr="00020852" w:rsidRDefault="00D85864" w:rsidP="00CB4C47">
            <w:pPr>
              <w:spacing w:afterLines="0" w:after="0"/>
              <w:rPr>
                <w:rFonts w:ascii="Times New Roman" w:hAnsi="Times New Roman" w:cs="Times New Roman"/>
                <w:sz w:val="20"/>
                <w:szCs w:val="20"/>
              </w:rPr>
            </w:pPr>
          </w:p>
          <w:p w14:paraId="193AD2D7"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0B72EE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E8F3657" w14:textId="46B5306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89D0AD4" w14:textId="77777777" w:rsidTr="000A7FAF">
        <w:trPr>
          <w:cantSplit/>
        </w:trPr>
        <w:tc>
          <w:tcPr>
            <w:tcW w:w="3415" w:type="dxa"/>
            <w:vAlign w:val="center"/>
          </w:tcPr>
          <w:p w14:paraId="39441C2D" w14:textId="77777777" w:rsidR="00D85864" w:rsidRPr="00020852" w:rsidRDefault="00D85864" w:rsidP="00CB4C47">
            <w:pPr>
              <w:spacing w:afterLines="0" w:after="0"/>
              <w:rPr>
                <w:rFonts w:ascii="Times New Roman" w:hAnsi="Times New Roman" w:cs="Times New Roman"/>
                <w:sz w:val="20"/>
                <w:szCs w:val="20"/>
              </w:rPr>
            </w:pPr>
          </w:p>
          <w:p w14:paraId="04F9CBC2"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7E0A8A0B"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55ECD84" w14:textId="77777777" w:rsidR="00D85864" w:rsidRPr="00020852" w:rsidRDefault="00D85864" w:rsidP="00CB4C47">
            <w:pPr>
              <w:spacing w:afterLines="0" w:after="0"/>
              <w:rPr>
                <w:rFonts w:ascii="Times New Roman" w:hAnsi="Times New Roman" w:cs="Times New Roman"/>
                <w:sz w:val="20"/>
                <w:szCs w:val="20"/>
              </w:rPr>
            </w:pPr>
          </w:p>
          <w:p w14:paraId="50FF352B"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9A781F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A31EEA5" w14:textId="300EC13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0CAB3C61" w14:textId="77777777" w:rsidTr="000A7FAF">
        <w:trPr>
          <w:cantSplit/>
        </w:trPr>
        <w:tc>
          <w:tcPr>
            <w:tcW w:w="3415" w:type="dxa"/>
            <w:vAlign w:val="center"/>
          </w:tcPr>
          <w:p w14:paraId="4BB54D84" w14:textId="77777777" w:rsidR="00D85864" w:rsidRPr="00020852" w:rsidRDefault="00D85864" w:rsidP="00CB4C47">
            <w:pPr>
              <w:spacing w:afterLines="0" w:after="0"/>
              <w:rPr>
                <w:rFonts w:ascii="Times New Roman" w:hAnsi="Times New Roman" w:cs="Times New Roman"/>
                <w:sz w:val="20"/>
                <w:szCs w:val="20"/>
              </w:rPr>
            </w:pPr>
          </w:p>
          <w:p w14:paraId="056BAD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EE70F59"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51448A25" w14:textId="77777777" w:rsidR="00D85864" w:rsidRPr="00020852" w:rsidRDefault="00D85864" w:rsidP="00CB4C47">
            <w:pPr>
              <w:spacing w:afterLines="0" w:after="0"/>
              <w:rPr>
                <w:rFonts w:ascii="Times New Roman" w:hAnsi="Times New Roman" w:cs="Times New Roman"/>
                <w:sz w:val="20"/>
                <w:szCs w:val="20"/>
              </w:rPr>
            </w:pPr>
          </w:p>
          <w:p w14:paraId="4D748BD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B25FEF1"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4BB227BC" w14:textId="41169CF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6FC3D91C" w14:textId="77777777" w:rsidTr="000A7FAF">
        <w:trPr>
          <w:cantSplit/>
        </w:trPr>
        <w:tc>
          <w:tcPr>
            <w:tcW w:w="3415" w:type="dxa"/>
            <w:vAlign w:val="center"/>
          </w:tcPr>
          <w:p w14:paraId="203809FD" w14:textId="77777777" w:rsidR="00D85864" w:rsidRPr="00020852" w:rsidRDefault="00D85864" w:rsidP="00CB4C47">
            <w:pPr>
              <w:spacing w:afterLines="0" w:after="0"/>
              <w:rPr>
                <w:rFonts w:ascii="Times New Roman" w:hAnsi="Times New Roman" w:cs="Times New Roman"/>
                <w:sz w:val="20"/>
                <w:szCs w:val="20"/>
              </w:rPr>
            </w:pPr>
          </w:p>
          <w:p w14:paraId="20E403F5"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67887B2"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38FAB29F" w14:textId="77777777" w:rsidR="00D85864" w:rsidRPr="00020852" w:rsidRDefault="00D85864" w:rsidP="00CB4C47">
            <w:pPr>
              <w:spacing w:afterLines="0" w:after="0"/>
              <w:rPr>
                <w:rFonts w:ascii="Times New Roman" w:hAnsi="Times New Roman" w:cs="Times New Roman"/>
                <w:sz w:val="20"/>
                <w:szCs w:val="20"/>
              </w:rPr>
            </w:pPr>
          </w:p>
          <w:p w14:paraId="04A35A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9CEDBD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FD454BE" w14:textId="1B8F941B"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6374B59" w14:textId="77777777" w:rsidTr="000A7FAF">
        <w:trPr>
          <w:cantSplit/>
        </w:trPr>
        <w:tc>
          <w:tcPr>
            <w:tcW w:w="3415" w:type="dxa"/>
            <w:vAlign w:val="center"/>
          </w:tcPr>
          <w:p w14:paraId="476CEA14" w14:textId="77777777" w:rsidR="00D85864" w:rsidRPr="00020852" w:rsidRDefault="00D85864" w:rsidP="00CB4C47">
            <w:pPr>
              <w:spacing w:afterLines="0" w:after="0"/>
              <w:rPr>
                <w:rFonts w:ascii="Times New Roman" w:hAnsi="Times New Roman" w:cs="Times New Roman"/>
                <w:sz w:val="20"/>
                <w:szCs w:val="20"/>
              </w:rPr>
            </w:pPr>
          </w:p>
          <w:p w14:paraId="385CD21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BF57C00"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3A2E131" w14:textId="77777777" w:rsidR="00D85864" w:rsidRPr="00020852" w:rsidRDefault="00D85864" w:rsidP="00CB4C47">
            <w:pPr>
              <w:spacing w:afterLines="0" w:after="0"/>
              <w:rPr>
                <w:rFonts w:ascii="Times New Roman" w:hAnsi="Times New Roman" w:cs="Times New Roman"/>
                <w:sz w:val="20"/>
                <w:szCs w:val="20"/>
              </w:rPr>
            </w:pPr>
          </w:p>
          <w:p w14:paraId="4AA602CC"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DC6187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3A5443B" w14:textId="6E319F6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161BEF67" w14:textId="77777777" w:rsidTr="000A7FAF">
        <w:trPr>
          <w:cantSplit/>
        </w:trPr>
        <w:tc>
          <w:tcPr>
            <w:tcW w:w="3415" w:type="dxa"/>
            <w:vAlign w:val="center"/>
          </w:tcPr>
          <w:p w14:paraId="52526CD9" w14:textId="77777777" w:rsidR="00D85864" w:rsidRPr="00020852" w:rsidRDefault="00D85864" w:rsidP="00CB4C47">
            <w:pPr>
              <w:spacing w:afterLines="0" w:after="0"/>
              <w:rPr>
                <w:rFonts w:ascii="Times New Roman" w:hAnsi="Times New Roman" w:cs="Times New Roman"/>
                <w:sz w:val="20"/>
                <w:szCs w:val="20"/>
              </w:rPr>
            </w:pPr>
          </w:p>
          <w:p w14:paraId="3F26A0A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7EE7FCF"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3AA112D" w14:textId="77777777" w:rsidR="00D85864" w:rsidRPr="00020852" w:rsidRDefault="00D85864" w:rsidP="00CB4C47">
            <w:pPr>
              <w:spacing w:afterLines="0" w:after="0"/>
              <w:rPr>
                <w:rFonts w:ascii="Times New Roman" w:hAnsi="Times New Roman" w:cs="Times New Roman"/>
                <w:sz w:val="20"/>
                <w:szCs w:val="20"/>
              </w:rPr>
            </w:pPr>
          </w:p>
          <w:p w14:paraId="4E61B12E"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14D716A4"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A8C5EC2" w14:textId="00BC48B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bl>
    <w:p w14:paraId="20AAD515" w14:textId="448AD32F" w:rsidR="007B010C" w:rsidRDefault="007B010C" w:rsidP="004F5196">
      <w:pPr>
        <w:spacing w:after="264"/>
        <w:rPr>
          <w:rStyle w:val="property1"/>
          <w:rFonts w:eastAsia="Times New Roman" w:cs="Times New Roman"/>
          <w:szCs w:val="24"/>
        </w:rPr>
      </w:pPr>
    </w:p>
    <w:p w14:paraId="1CD48BEA" w14:textId="7C444EF4" w:rsidR="00731403" w:rsidRPr="00020852" w:rsidRDefault="00731403" w:rsidP="00731403">
      <w:pPr>
        <w:pStyle w:val="NormalEnd"/>
        <w:rPr>
          <w:rStyle w:val="property1"/>
          <w:rFonts w:eastAsia="Times New Roman"/>
        </w:rPr>
      </w:pPr>
      <w:r>
        <w:rPr>
          <w:rStyle w:val="property1"/>
          <w:color w:val="auto"/>
        </w:rPr>
        <w:t>The table above</w:t>
      </w:r>
      <w:r w:rsidRPr="0086219A">
        <w:rPr>
          <w:rStyle w:val="property1"/>
          <w:color w:val="auto"/>
        </w:rPr>
        <w:t xml:space="preserve"> may be amended from time to time </w:t>
      </w:r>
      <w:r>
        <w:rPr>
          <w:rStyle w:val="property1"/>
          <w:color w:val="auto"/>
        </w:rPr>
        <w:t xml:space="preserve">as new information comes to light. </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1EE9E79C" w14:textId="444ED4B2"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4E1ED793" w14:textId="65740FE9" w:rsidR="00745226" w:rsidRDefault="008C67F5" w:rsidP="008C67F5">
      <w:pPr>
        <w:spacing w:after="264"/>
        <w:ind w:left="1080" w:hanging="360"/>
        <w:rPr>
          <w:rFonts w:cs="Times New Roman"/>
          <w:szCs w:val="24"/>
        </w:rPr>
      </w:pPr>
      <w:r w:rsidRPr="00020852">
        <w:rPr>
          <w:rFonts w:cs="Times New Roman"/>
          <w:bCs/>
          <w:szCs w:val="24"/>
        </w:rPr>
        <w:t>—  The “failure to maintain” issue discussed in the context of the “Breach of CC&amp;Rs</w:t>
      </w:r>
      <w:r w:rsidR="00BC2936">
        <w:rPr>
          <w:rFonts w:cs="Times New Roman"/>
          <w:bCs/>
          <w:szCs w:val="24"/>
        </w:rPr>
        <w:t xml:space="preserve">,” “Negligence,” and “Breach of Fiduciary Duty” </w:t>
      </w:r>
      <w:r w:rsidRPr="00020852">
        <w:rPr>
          <w:rFonts w:cs="Times New Roman"/>
          <w:bCs/>
          <w:szCs w:val="24"/>
        </w:rPr>
        <w:t>causes of action above is also applicable in the context of a nuisance claim.</w:t>
      </w:r>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TBD</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AE0758E" w14:textId="77777777" w:rsidR="009041EF" w:rsidRDefault="009041EF" w:rsidP="009041EF">
      <w:pPr>
        <w:pStyle w:val="Heading2"/>
      </w:pPr>
      <w:r w:rsidRPr="00020852">
        <w:fldChar w:fldCharType="begin"/>
      </w:r>
      <w:r w:rsidRPr="00020852">
        <w:instrText xml:space="preserve"> LISTNUM LegalDefault \l 2 </w:instrText>
      </w:r>
      <w:bookmarkStart w:id="44" w:name="_Toc130368714"/>
      <w:r w:rsidRPr="00020852">
        <w:fldChar w:fldCharType="end"/>
      </w:r>
      <w:r>
        <w:br/>
      </w:r>
      <w:r w:rsidRPr="00020852">
        <w:t>Interference with Contract</w:t>
      </w:r>
      <w:bookmarkEnd w:id="44"/>
    </w:p>
    <w:p w14:paraId="600A8C52"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020852">
        <w:rPr>
          <w:rFonts w:cs="Times New Roman"/>
        </w:rPr>
        <w:t xml:space="preserve"> </w:t>
      </w:r>
      <w:r w:rsidRPr="00020852">
        <w:rPr>
          <w:rFonts w:cs="Times New Roman"/>
          <w:bCs/>
          <w:szCs w:val="24"/>
        </w:rPr>
        <w:t>Interference with Contract</w:t>
      </w:r>
    </w:p>
    <w:p w14:paraId="0FB6076D" w14:textId="77777777" w:rsidR="009041EF" w:rsidRDefault="009041EF" w:rsidP="009041EF">
      <w:pPr>
        <w:spacing w:after="264"/>
        <w:ind w:left="1080" w:hanging="360"/>
        <w:rPr>
          <w:rFonts w:cs="Times New Roman"/>
          <w:bCs/>
          <w:szCs w:val="24"/>
        </w:rPr>
      </w:pPr>
      <w:r w:rsidRPr="00020852">
        <w:rPr>
          <w:rFonts w:cs="Times New Roman"/>
          <w:bCs/>
          <w:szCs w:val="24"/>
        </w:rPr>
        <w:lastRenderedPageBreak/>
        <w:t xml:space="preserve">—  The elements for a cause of action for </w:t>
      </w:r>
      <w:r w:rsidRPr="00020852">
        <w:rPr>
          <w:rFonts w:cs="Times New Roman"/>
          <w:bCs/>
          <w:i/>
          <w:iCs/>
          <w:szCs w:val="24"/>
        </w:rPr>
        <w:t>intentional</w:t>
      </w:r>
      <w:r w:rsidRPr="00020852">
        <w:rPr>
          <w:rFonts w:cs="Times New Roman"/>
          <w:bCs/>
          <w:szCs w:val="24"/>
        </w:rPr>
        <w:t xml:space="preserve"> interference with contractual relations (aka interference with contract) are: (i) the existence of a valid contract between plaintiff and a third party; (ii) defendant’s knowledge of that contract; (iii) defendant’s </w:t>
      </w:r>
      <w:r w:rsidRPr="00020852">
        <w:rPr>
          <w:rFonts w:cs="Times New Roman"/>
          <w:bCs/>
          <w:i/>
          <w:iCs/>
          <w:szCs w:val="24"/>
        </w:rPr>
        <w:t>intentional</w:t>
      </w:r>
      <w:r w:rsidRPr="00020852">
        <w:rPr>
          <w:rFonts w:cs="Times New Roman"/>
          <w:bCs/>
          <w:szCs w:val="24"/>
        </w:rPr>
        <w:t xml:space="preserve"> acts intended to induce the third party to breach (or acts intended to disrupt) the contract; (iv) the breach or disruption of the contract/contractual relationship; and (v) resulting damages. (</w:t>
      </w:r>
      <w:proofErr w:type="spellStart"/>
      <w:r w:rsidRPr="00020852">
        <w:rPr>
          <w:rFonts w:cs="Times New Roman"/>
          <w:bCs/>
          <w:i/>
          <w:iCs/>
          <w:szCs w:val="24"/>
        </w:rPr>
        <w:t>Quelimane</w:t>
      </w:r>
      <w:proofErr w:type="spellEnd"/>
      <w:r w:rsidRPr="00020852">
        <w:rPr>
          <w:rFonts w:cs="Times New Roman"/>
          <w:bCs/>
          <w:i/>
          <w:iCs/>
          <w:szCs w:val="24"/>
        </w:rPr>
        <w:t xml:space="preserve"> Co. v. Stewart Title Guar. Co.</w:t>
      </w:r>
      <w:r w:rsidRPr="00020852">
        <w:rPr>
          <w:rFonts w:cs="Times New Roman"/>
          <w:bCs/>
          <w:szCs w:val="24"/>
        </w:rPr>
        <w:t xml:space="preserve"> (1998) 19 Cal.4th 26, 55.)</w:t>
      </w:r>
    </w:p>
    <w:p w14:paraId="554787B6" w14:textId="77777777" w:rsidR="009041EF" w:rsidRDefault="009041EF" w:rsidP="009041EF">
      <w:pPr>
        <w:spacing w:after="264"/>
        <w:ind w:left="1080" w:hanging="360"/>
        <w:rPr>
          <w:rFonts w:cs="Times New Roman"/>
          <w:bCs/>
          <w:szCs w:val="24"/>
        </w:rPr>
      </w:pPr>
      <w:r w:rsidRPr="00020852">
        <w:rPr>
          <w:rFonts w:cs="Times New Roman"/>
          <w:bCs/>
          <w:szCs w:val="24"/>
        </w:rPr>
        <w:t>—  There are, however, no elements for a cause of action for negligent interference with contractual relations (aka interference with contract) because the California Supreme Court has rejected the existence of that cause of action. (</w:t>
      </w:r>
      <w:r w:rsidRPr="00020852">
        <w:rPr>
          <w:rFonts w:cs="Times New Roman"/>
          <w:bCs/>
          <w:i/>
          <w:iCs/>
          <w:szCs w:val="24"/>
        </w:rPr>
        <w:t xml:space="preserve">Davis v. </w:t>
      </w:r>
      <w:proofErr w:type="spellStart"/>
      <w:r w:rsidRPr="00020852">
        <w:rPr>
          <w:rFonts w:cs="Times New Roman"/>
          <w:bCs/>
          <w:i/>
          <w:iCs/>
          <w:szCs w:val="24"/>
        </w:rPr>
        <w:t>Nadrich</w:t>
      </w:r>
      <w:proofErr w:type="spellEnd"/>
      <w:r w:rsidRPr="00020852">
        <w:rPr>
          <w:rFonts w:cs="Times New Roman"/>
          <w:bCs/>
          <w:szCs w:val="24"/>
        </w:rPr>
        <w:t xml:space="preserve"> (2009) 174 Cal.App.4th 1, 9-10; </w:t>
      </w:r>
      <w:r w:rsidRPr="00020852">
        <w:rPr>
          <w:rFonts w:cs="Times New Roman"/>
          <w:bCs/>
          <w:i/>
          <w:iCs/>
          <w:szCs w:val="24"/>
        </w:rPr>
        <w:t>Fifield Manor v. Finston</w:t>
      </w:r>
      <w:r w:rsidRPr="00020852">
        <w:rPr>
          <w:rFonts w:cs="Times New Roman"/>
          <w:bCs/>
          <w:szCs w:val="24"/>
        </w:rPr>
        <w:t xml:space="preserve"> (1960) 54 Cal.2d 632.)</w:t>
      </w:r>
      <w:r w:rsidRPr="00020852">
        <w:rPr>
          <w:rStyle w:val="FootnoteReference"/>
          <w:rFonts w:cs="Times New Roman"/>
          <w:bCs/>
          <w:szCs w:val="24"/>
        </w:rPr>
        <w:footnoteReference w:id="1"/>
      </w:r>
    </w:p>
    <w:p w14:paraId="342E23EA" w14:textId="77777777" w:rsidR="009041EF" w:rsidRDefault="009041EF" w:rsidP="009041E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2496D5" w14:textId="77777777" w:rsidR="009041EF" w:rsidRDefault="009041EF" w:rsidP="009041EF">
      <w:pPr>
        <w:spacing w:after="264"/>
        <w:ind w:left="1080" w:hanging="360"/>
        <w:rPr>
          <w:rFonts w:cs="Times New Roman"/>
          <w:bCs/>
          <w:szCs w:val="24"/>
        </w:rPr>
      </w:pPr>
      <w:r w:rsidRPr="00020852">
        <w:rPr>
          <w:rFonts w:cs="Times New Roman"/>
          <w:bCs/>
          <w:szCs w:val="24"/>
        </w:rPr>
        <w:t xml:space="preserve">—  Because intentional interference with contract is a tort, tort damages apply. Compensatory (money) damages are available, including lost profits, expenses, and future profits that are reasonably certain. (Civ. Code, §3333; </w:t>
      </w:r>
      <w:r w:rsidRPr="00020852">
        <w:rPr>
          <w:rFonts w:cs="Times New Roman"/>
          <w:bCs/>
          <w:i/>
          <w:iCs/>
          <w:szCs w:val="24"/>
        </w:rPr>
        <w:t>Little v. Amber Hotel Co.</w:t>
      </w:r>
      <w:r w:rsidRPr="00020852">
        <w:rPr>
          <w:rFonts w:cs="Times New Roman"/>
          <w:bCs/>
          <w:szCs w:val="24"/>
        </w:rPr>
        <w:t xml:space="preserve"> (2011) 202 Cal.App.4th 280.)</w:t>
      </w:r>
    </w:p>
    <w:p w14:paraId="3BBB4684" w14:textId="77777777" w:rsidR="009041EF" w:rsidRDefault="009041EF" w:rsidP="009041EF">
      <w:pPr>
        <w:spacing w:after="264"/>
        <w:ind w:left="1080" w:hanging="360"/>
        <w:rPr>
          <w:rFonts w:cs="Times New Roman"/>
          <w:bCs/>
          <w:szCs w:val="24"/>
        </w:rPr>
      </w:pPr>
      <w:r w:rsidRPr="00020852">
        <w:rPr>
          <w:rFonts w:cs="Times New Roman"/>
          <w:bCs/>
          <w:szCs w:val="24"/>
        </w:rPr>
        <w:t>—  Emotional distress damages are available only in cases where: (i) the defendant’s conduct was “extreme and outrageous”; and (ii) it was objectively reasonable that such conduct would cause serious emotional distress. (</w:t>
      </w:r>
      <w:r w:rsidRPr="00020852">
        <w:rPr>
          <w:rFonts w:cs="Times New Roman"/>
          <w:bCs/>
          <w:i/>
          <w:iCs/>
          <w:szCs w:val="24"/>
        </w:rPr>
        <w:t xml:space="preserve">Di Loreto v. </w:t>
      </w:r>
      <w:proofErr w:type="spellStart"/>
      <w:r w:rsidRPr="00020852">
        <w:rPr>
          <w:rFonts w:cs="Times New Roman"/>
          <w:bCs/>
          <w:i/>
          <w:iCs/>
          <w:szCs w:val="24"/>
        </w:rPr>
        <w:t>Schumake</w:t>
      </w:r>
      <w:proofErr w:type="spellEnd"/>
      <w:r w:rsidRPr="00020852">
        <w:rPr>
          <w:rFonts w:cs="Times New Roman"/>
          <w:bCs/>
          <w:szCs w:val="24"/>
        </w:rPr>
        <w:t xml:space="preserve"> (1995) 38 Cal.4th 35, 38-39.)</w:t>
      </w:r>
    </w:p>
    <w:p w14:paraId="1A8D0754" w14:textId="77777777" w:rsidR="009041EF" w:rsidRDefault="009041EF" w:rsidP="009041EF">
      <w:pPr>
        <w:spacing w:after="264"/>
        <w:ind w:left="1080" w:hanging="360"/>
        <w:rPr>
          <w:rFonts w:cs="Times New Roman"/>
          <w:bCs/>
          <w:szCs w:val="24"/>
        </w:rPr>
      </w:pPr>
      <w:r w:rsidRPr="00020852">
        <w:rPr>
          <w:rFonts w:cs="Times New Roman"/>
          <w:bCs/>
          <w:szCs w:val="24"/>
        </w:rPr>
        <w:t xml:space="preserve">—  Punitive damages are available upon a showing of oppression, fraud, or malice by clear and convincing evidence. (Civ. Code, §3294; </w:t>
      </w:r>
      <w:r w:rsidRPr="00020852">
        <w:rPr>
          <w:rFonts w:cs="Times New Roman"/>
          <w:bCs/>
          <w:i/>
          <w:iCs/>
          <w:szCs w:val="24"/>
        </w:rPr>
        <w:t>Ramona Manor Convalescent Hospital v. Care Enterprises</w:t>
      </w:r>
      <w:r w:rsidRPr="00020852">
        <w:rPr>
          <w:rFonts w:cs="Times New Roman"/>
          <w:bCs/>
          <w:szCs w:val="24"/>
        </w:rPr>
        <w:t xml:space="preserve"> (1986) 177 Cal.App.3d 1120.)</w:t>
      </w:r>
    </w:p>
    <w:p w14:paraId="2F5EDF0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59F149D"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statute of limitations for an intentional interference with contract cause of action is two years. (Code Civ. Proc., § 339(1); </w:t>
      </w:r>
      <w:r w:rsidRPr="00020852">
        <w:rPr>
          <w:rFonts w:cs="Times New Roman"/>
          <w:bCs/>
          <w:i/>
          <w:iCs/>
          <w:szCs w:val="24"/>
        </w:rPr>
        <w:t>Knoell v. Petrovich</w:t>
      </w:r>
      <w:r w:rsidRPr="00020852">
        <w:rPr>
          <w:rFonts w:cs="Times New Roman"/>
          <w:bCs/>
          <w:szCs w:val="24"/>
        </w:rPr>
        <w:t xml:space="preserve"> (1999) 76 Cal.App.4th 164, 168.)</w:t>
      </w:r>
    </w:p>
    <w:p w14:paraId="22E6BBA8"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08B9CFBC"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interference with contract</w:t>
      </w:r>
      <w:r w:rsidRPr="00020852">
        <w:rPr>
          <w:rFonts w:cs="Times New Roman"/>
          <w:bCs/>
          <w:szCs w:val="24"/>
          <w:highlight w:val="green"/>
        </w:rPr>
        <w:t xml:space="preserve">. If one or more provisions of the CC&amp;Rs is/are </w:t>
      </w:r>
      <w:r w:rsidRPr="00020852">
        <w:rPr>
          <w:rFonts w:cs="Times New Roman"/>
          <w:bCs/>
          <w:szCs w:val="24"/>
          <w:highlight w:val="green"/>
        </w:rPr>
        <w:lastRenderedPageBreak/>
        <w:t>relevant (e.g., nuisance), you should cite to that/those provision(s) here (no need to quote or provide a snip).</w:t>
      </w:r>
    </w:p>
    <w:p w14:paraId="5B631F82"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4BCB19F"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55F6C9BF"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77A68BEF"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B535113"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59D56C04" w14:textId="5FDBA806" w:rsidR="00204C54" w:rsidRDefault="00204C54" w:rsidP="00204C54">
      <w:pPr>
        <w:spacing w:after="264"/>
        <w:ind w:left="1080" w:hanging="360"/>
        <w:rPr>
          <w:rFonts w:cs="Times New Roman"/>
          <w:bCs/>
          <w:szCs w:val="24"/>
        </w:rPr>
      </w:pPr>
      <w:r w:rsidRPr="00020852">
        <w:rPr>
          <w:rFonts w:cs="Times New Roman"/>
          <w:bCs/>
          <w:szCs w:val="24"/>
        </w:rPr>
        <w:t xml:space="preserve">—  The “failure to maintain” issue discussed in the context of the “Breach of CC&amp;Rs,” “Negligence,” </w:t>
      </w:r>
      <w:r>
        <w:rPr>
          <w:rFonts w:cs="Times New Roman"/>
          <w:bCs/>
          <w:szCs w:val="24"/>
        </w:rPr>
        <w:t xml:space="preserve">“Breach of Fiduciary Duty,” </w:t>
      </w:r>
      <w:r w:rsidRPr="00020852">
        <w:rPr>
          <w:rFonts w:cs="Times New Roman"/>
          <w:bCs/>
          <w:szCs w:val="24"/>
        </w:rPr>
        <w:t>and “Nuisance” causes of action above is also applicable in the context of a claim for declaratory relief.</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12138D5" w14:textId="77777777" w:rsidR="009041EF" w:rsidRDefault="009041EF" w:rsidP="009041EF">
      <w:pPr>
        <w:pStyle w:val="Heading2"/>
      </w:pPr>
      <w:r w:rsidRPr="00020852">
        <w:fldChar w:fldCharType="begin"/>
      </w:r>
      <w:r w:rsidRPr="00020852">
        <w:instrText xml:space="preserve"> LISTNUM LegalDefault \l 2 </w:instrText>
      </w:r>
      <w:bookmarkStart w:id="83" w:name="_Toc53565507"/>
      <w:bookmarkStart w:id="84" w:name="_Toc130368736"/>
      <w:r w:rsidRPr="00020852">
        <w:fldChar w:fldCharType="end"/>
      </w:r>
      <w:r>
        <w:br/>
        <w:t>Conversion</w:t>
      </w:r>
      <w:bookmarkEnd w:id="83"/>
      <w:bookmarkEnd w:id="84"/>
    </w:p>
    <w:p w14:paraId="028E1A26" w14:textId="77777777" w:rsidR="009041EF" w:rsidRDefault="009041EF" w:rsidP="009041EF">
      <w:pPr>
        <w:spacing w:after="264"/>
      </w:pPr>
      <w:r w:rsidRPr="00D93A31">
        <w:rPr>
          <w:u w:val="single"/>
        </w:rPr>
        <w:t>Elements</w:t>
      </w:r>
      <w:r>
        <w:t>—Conversion</w:t>
      </w:r>
    </w:p>
    <w:p w14:paraId="208DE452" w14:textId="77777777" w:rsidR="009041EF" w:rsidRDefault="009041EF" w:rsidP="009041EF">
      <w:pPr>
        <w:spacing w:after="264"/>
        <w:ind w:left="1080" w:hanging="360"/>
      </w:pPr>
      <w:r>
        <w:t xml:space="preserve">—  </w:t>
      </w:r>
      <w:r w:rsidRPr="004243E5">
        <w:t xml:space="preserve">To prevail on a claim for conversion, plaintiff must prove (i) his or her ownership/right to possess of the at-issue </w:t>
      </w:r>
      <w:r w:rsidRPr="009914CF">
        <w:rPr>
          <w:i/>
          <w:iCs/>
        </w:rPr>
        <w:t>personal property</w:t>
      </w:r>
      <w:r w:rsidRPr="004243E5">
        <w:t>; (ii) defendant’s wrongful exercise of control over th</w:t>
      </w:r>
      <w:r>
        <w:t>at</w:t>
      </w:r>
      <w:r w:rsidRPr="004243E5">
        <w:t xml:space="preserve"> property; and (iii) damages. (</w:t>
      </w:r>
      <w:proofErr w:type="spellStart"/>
      <w:r w:rsidRPr="009914CF">
        <w:rPr>
          <w:i/>
          <w:iCs/>
        </w:rPr>
        <w:t>Welco</w:t>
      </w:r>
      <w:proofErr w:type="spellEnd"/>
      <w:r w:rsidRPr="009914CF">
        <w:rPr>
          <w:i/>
          <w:iCs/>
        </w:rPr>
        <w:t xml:space="preserve"> Electronics, Inc. v. Mora</w:t>
      </w:r>
      <w:r w:rsidRPr="004243E5">
        <w:t xml:space="preserve"> (2014) 223 Cal.App.4th 202, 208.)</w:t>
      </w:r>
    </w:p>
    <w:p w14:paraId="7E7CE053" w14:textId="77777777" w:rsidR="009041EF" w:rsidRDefault="009041EF" w:rsidP="009041EF">
      <w:pPr>
        <w:spacing w:after="264"/>
        <w:ind w:left="1080" w:hanging="360"/>
      </w:pPr>
      <w:r>
        <w:t xml:space="preserve">—  </w:t>
      </w:r>
      <w:r w:rsidRPr="009914CF">
        <w:t>Conversion is a strict liability tort. (</w:t>
      </w:r>
      <w:proofErr w:type="spellStart"/>
      <w:r w:rsidRPr="009914CF">
        <w:rPr>
          <w:i/>
          <w:iCs/>
        </w:rPr>
        <w:t>Welco</w:t>
      </w:r>
      <w:proofErr w:type="spellEnd"/>
      <w:r w:rsidRPr="009914CF">
        <w:rPr>
          <w:i/>
          <w:iCs/>
        </w:rPr>
        <w:t xml:space="preserve"> Electronics, Inc. v. Mora, supra,</w:t>
      </w:r>
      <w:r>
        <w:t xml:space="preserve"> </w:t>
      </w:r>
      <w:r w:rsidRPr="009914CF">
        <w:t xml:space="preserve">223 Cal.App.4th </w:t>
      </w:r>
      <w:r>
        <w:t>at</w:t>
      </w:r>
      <w:r w:rsidRPr="009914CF">
        <w:t xml:space="preserve"> 208.)</w:t>
      </w:r>
    </w:p>
    <w:p w14:paraId="17B6CC63" w14:textId="77777777" w:rsidR="009041EF" w:rsidRDefault="009041EF" w:rsidP="009041EF">
      <w:pPr>
        <w:spacing w:after="264"/>
        <w:ind w:left="1080" w:hanging="360"/>
      </w:pPr>
      <w:r>
        <w:lastRenderedPageBreak/>
        <w:t xml:space="preserve">—  </w:t>
      </w:r>
      <w:r w:rsidRPr="00712D0D">
        <w:t>Money can only be converted if the</w:t>
      </w:r>
      <w:r>
        <w:t xml:space="preserve"> money that was taken is </w:t>
      </w:r>
      <w:r w:rsidRPr="00712D0D">
        <w:t>a specific sum capable of identification. (</w:t>
      </w:r>
      <w:proofErr w:type="spellStart"/>
      <w:r w:rsidRPr="00712D0D">
        <w:rPr>
          <w:i/>
          <w:iCs/>
        </w:rPr>
        <w:t>Welco</w:t>
      </w:r>
      <w:proofErr w:type="spellEnd"/>
      <w:r w:rsidRPr="00712D0D">
        <w:rPr>
          <w:i/>
          <w:iCs/>
        </w:rPr>
        <w:t xml:space="preserve"> Electronics, Inc. v. Mora, supra,</w:t>
      </w:r>
      <w:r w:rsidRPr="00712D0D">
        <w:t xml:space="preserve"> 223 Cal.App.4th at p. 216.) </w:t>
      </w:r>
    </w:p>
    <w:p w14:paraId="5ACBABBC" w14:textId="77777777" w:rsidR="009041EF" w:rsidRDefault="009041EF" w:rsidP="009041EF">
      <w:pPr>
        <w:spacing w:after="264"/>
        <w:ind w:left="1350" w:hanging="270"/>
      </w:pPr>
      <w:r>
        <w:t xml:space="preserve">•   For example, attorneys’ fees and costs have rightfully supported a conversion claim </w:t>
      </w:r>
      <w:r w:rsidRPr="00712D0D">
        <w:t>(</w:t>
      </w:r>
      <w:r w:rsidRPr="00BA7719">
        <w:rPr>
          <w:i/>
          <w:iCs/>
        </w:rPr>
        <w:t>Murphy v. Am. Gen. Life Ins. Co.</w:t>
      </w:r>
      <w:r w:rsidRPr="00712D0D">
        <w:t xml:space="preserve"> (C.D. 2015) 74 F.Supp.3d 1267, 1280</w:t>
      </w:r>
      <w:r>
        <w:t>), as have: (i) s</w:t>
      </w:r>
      <w:r w:rsidRPr="00712D0D">
        <w:t>ettlement proceeds</w:t>
      </w:r>
      <w:r>
        <w:t xml:space="preserve"> </w:t>
      </w:r>
      <w:r w:rsidRPr="00712D0D">
        <w:t>(</w:t>
      </w:r>
      <w:r w:rsidRPr="00BA7719">
        <w:rPr>
          <w:i/>
          <w:iCs/>
        </w:rPr>
        <w:t>Gilman v. Dalby</w:t>
      </w:r>
      <w:r w:rsidRPr="00712D0D">
        <w:t xml:space="preserve"> (2009) 176 Cal.App.4th 606, 616</w:t>
      </w:r>
      <w:r>
        <w:t xml:space="preserve">); and (ii) funds sitting in bank accounts. </w:t>
      </w:r>
      <w:r w:rsidRPr="00712D0D">
        <w:t>(</w:t>
      </w:r>
      <w:r w:rsidRPr="00BA7719">
        <w:rPr>
          <w:i/>
          <w:iCs/>
        </w:rPr>
        <w:t>Fong v. East West Bank</w:t>
      </w:r>
      <w:r w:rsidRPr="00712D0D">
        <w:t xml:space="preserve"> (2018) 19 Cal.App.5th 224, 231-33</w:t>
      </w:r>
      <w:r>
        <w:t>.)</w:t>
      </w:r>
    </w:p>
    <w:p w14:paraId="528826DC" w14:textId="77777777" w:rsidR="009041EF" w:rsidRDefault="009041EF" w:rsidP="009041EF">
      <w:pPr>
        <w:spacing w:after="264"/>
        <w:ind w:left="1080" w:hanging="360"/>
      </w:pPr>
      <w:r>
        <w:t xml:space="preserve">—  </w:t>
      </w:r>
      <w:r w:rsidRPr="008007C3">
        <w:t>Defendant’s good faith, motive, or lack of knowledge in converting the personal property is irrelevant. (</w:t>
      </w:r>
      <w:r w:rsidRPr="008007C3">
        <w:rPr>
          <w:i/>
          <w:iCs/>
        </w:rPr>
        <w:t>Los Angeles Fed. Credit Union v. Madatyan</w:t>
      </w:r>
      <w:r w:rsidRPr="008007C3">
        <w:t xml:space="preserve"> (2012) 209 Cal.App.4th 1383, 1388.)</w:t>
      </w:r>
    </w:p>
    <w:p w14:paraId="4C479E69" w14:textId="77777777" w:rsidR="009041EF" w:rsidRDefault="009041EF" w:rsidP="009041EF">
      <w:pPr>
        <w:spacing w:after="264"/>
        <w:ind w:left="1080" w:hanging="360"/>
      </w:pPr>
      <w:r>
        <w:t xml:space="preserve">—  </w:t>
      </w:r>
      <w:r w:rsidRPr="009914CF">
        <w:t xml:space="preserve">Conversion vs. </w:t>
      </w:r>
      <w:r>
        <w:t>t</w:t>
      </w:r>
      <w:r w:rsidRPr="009914CF">
        <w:t xml:space="preserve">respass to </w:t>
      </w:r>
      <w:r>
        <w:t>c</w:t>
      </w:r>
      <w:r w:rsidRPr="009914CF">
        <w:t xml:space="preserve">hattels. Conversion arises from the complete dispossession of the </w:t>
      </w:r>
      <w:r w:rsidRPr="00574F59">
        <w:rPr>
          <w:i/>
          <w:iCs/>
        </w:rPr>
        <w:t>personal</w:t>
      </w:r>
      <w:r w:rsidRPr="009914CF">
        <w:t xml:space="preserve"> </w:t>
      </w:r>
      <w:r w:rsidRPr="00574F59">
        <w:rPr>
          <w:i/>
          <w:iCs/>
        </w:rPr>
        <w:t>property</w:t>
      </w:r>
      <w:r w:rsidRPr="009914CF">
        <w:t xml:space="preserve">, </w:t>
      </w:r>
      <w:r>
        <w:t>while</w:t>
      </w:r>
      <w:r w:rsidRPr="009914CF">
        <w:t xml:space="preserve"> trespass to chattels deals with a lesser degree of interference.</w:t>
      </w:r>
      <w:r>
        <w:t xml:space="preserve"> </w:t>
      </w:r>
      <w:r w:rsidRPr="002409A1">
        <w:rPr>
          <w:rFonts w:cs="Times New Roman"/>
          <w:szCs w:val="24"/>
        </w:rPr>
        <w:t xml:space="preserve">Note that neither tort is appropriate in the context of </w:t>
      </w:r>
      <w:r w:rsidRPr="00574F59">
        <w:rPr>
          <w:rFonts w:cs="Times New Roman"/>
          <w:i/>
          <w:iCs/>
          <w:szCs w:val="24"/>
        </w:rPr>
        <w:t>real propert</w:t>
      </w:r>
      <w:r w:rsidRPr="002409A1">
        <w:rPr>
          <w:rFonts w:cs="Times New Roman"/>
          <w:szCs w:val="24"/>
        </w:rPr>
        <w:t>y.</w:t>
      </w:r>
    </w:p>
    <w:p w14:paraId="72950FD6" w14:textId="77777777" w:rsidR="009041EF" w:rsidRPr="00265AF8" w:rsidRDefault="009041EF" w:rsidP="009041EF">
      <w:pPr>
        <w:spacing w:after="264"/>
      </w:pPr>
      <w:r>
        <w:rPr>
          <w:u w:val="single"/>
        </w:rPr>
        <w:t>Remedies</w:t>
      </w:r>
      <w:r>
        <w:t>—</w:t>
      </w:r>
    </w:p>
    <w:p w14:paraId="5B8D81F2" w14:textId="77777777" w:rsidR="009041EF" w:rsidRDefault="009041EF" w:rsidP="009041EF">
      <w:pPr>
        <w:spacing w:after="264"/>
        <w:ind w:left="1080" w:hanging="360"/>
      </w:pPr>
      <w:r>
        <w:t xml:space="preserve">—  </w:t>
      </w:r>
      <w:r w:rsidRPr="00287EF3">
        <w:t xml:space="preserve">Plaintiff is entitled to (i) the value of the property at the time of conversion, with interest from the date of conversion; and (ii) a fair compensation for the time and money expended pursuing the property. </w:t>
      </w:r>
      <w:r w:rsidRPr="008F281C">
        <w:t>(</w:t>
      </w:r>
      <w:r w:rsidRPr="008F281C">
        <w:rPr>
          <w:i/>
          <w:iCs/>
        </w:rPr>
        <w:t>Virtanen v. O’Connell</w:t>
      </w:r>
      <w:r w:rsidRPr="008F281C">
        <w:t xml:space="preserve"> (2006) 140 Cal.App.4th 688, 708; Civ. Code, § 3336.)</w:t>
      </w:r>
    </w:p>
    <w:p w14:paraId="5EBF0ED5" w14:textId="77777777" w:rsidR="009041EF" w:rsidRDefault="009041EF" w:rsidP="009041EF">
      <w:pPr>
        <w:spacing w:after="264"/>
        <w:ind w:left="1350" w:hanging="270"/>
      </w:pPr>
      <w:r>
        <w:t xml:space="preserve">•   </w:t>
      </w:r>
      <w:r w:rsidRPr="00287EF3">
        <w:t>If the property had special value to plaintiff, that value may be recovered if defendant knew the value in advance or was a willful wrongdoer. (Civ. Code, § 3355.)</w:t>
      </w:r>
    </w:p>
    <w:p w14:paraId="62A8ED20" w14:textId="77777777" w:rsidR="009041EF" w:rsidRDefault="009041EF" w:rsidP="009041EF">
      <w:pPr>
        <w:spacing w:after="264"/>
        <w:ind w:left="1080" w:hanging="360"/>
      </w:pPr>
      <w:r>
        <w:t xml:space="preserve">—  </w:t>
      </w:r>
      <w:r w:rsidRPr="00287EF3">
        <w:t>Emotional distress damages are available. (</w:t>
      </w:r>
      <w:r w:rsidRPr="00287EF3">
        <w:rPr>
          <w:i/>
          <w:iCs/>
        </w:rPr>
        <w:t xml:space="preserve">Plotnik v. </w:t>
      </w:r>
      <w:proofErr w:type="spellStart"/>
      <w:r w:rsidRPr="00287EF3">
        <w:rPr>
          <w:i/>
          <w:iCs/>
        </w:rPr>
        <w:t>Meihaus</w:t>
      </w:r>
      <w:proofErr w:type="spellEnd"/>
      <w:r w:rsidRPr="00287EF3">
        <w:t xml:space="preserve"> (2012) 208 Cal.App.4th 1590, 1605-07.)</w:t>
      </w:r>
    </w:p>
    <w:p w14:paraId="059DC61C" w14:textId="77777777" w:rsidR="009041EF" w:rsidRDefault="009041EF" w:rsidP="009041EF">
      <w:pPr>
        <w:spacing w:after="264"/>
        <w:ind w:left="1080" w:hanging="360"/>
      </w:pPr>
      <w:r>
        <w:t xml:space="preserve">—  </w:t>
      </w:r>
      <w:r w:rsidRPr="006673BF">
        <w:t>Attorneys’ fees incurred in seeking the recovery of the property are not recoverable. (</w:t>
      </w:r>
      <w:r w:rsidRPr="006673BF">
        <w:rPr>
          <w:i/>
          <w:iCs/>
        </w:rPr>
        <w:t>In re Martinez</w:t>
      </w:r>
      <w:r w:rsidRPr="006673BF">
        <w:t xml:space="preserve"> (</w:t>
      </w:r>
      <w:proofErr w:type="spellStart"/>
      <w:r w:rsidRPr="006673BF">
        <w:t>Bankr</w:t>
      </w:r>
      <w:proofErr w:type="spellEnd"/>
      <w:r w:rsidRPr="006673BF">
        <w:t xml:space="preserve">. </w:t>
      </w:r>
      <w:proofErr w:type="spellStart"/>
      <w:r w:rsidRPr="006673BF">
        <w:t>N.D.Cal</w:t>
      </w:r>
      <w:proofErr w:type="spellEnd"/>
      <w:r w:rsidRPr="006673BF">
        <w:t>. 2019) 610 B.R. 290, 305.)</w:t>
      </w:r>
    </w:p>
    <w:p w14:paraId="10C5DFB7" w14:textId="77777777" w:rsidR="009041EF" w:rsidRDefault="009041EF" w:rsidP="009041EF">
      <w:pPr>
        <w:spacing w:after="264"/>
        <w:ind w:left="1080" w:hanging="360"/>
      </w:pPr>
      <w:r>
        <w:t xml:space="preserve">—  </w:t>
      </w:r>
      <w:r w:rsidRPr="00287EF3">
        <w:t>Punitive damages may be available if the plaintiff shows that the defendant acted oppressively, fraudulently, or maliciously. (Civ. Code, § 3294.)</w:t>
      </w:r>
    </w:p>
    <w:p w14:paraId="6CE555A1" w14:textId="77777777" w:rsidR="009041EF" w:rsidRPr="00265AF8" w:rsidRDefault="009041EF" w:rsidP="009041EF">
      <w:pPr>
        <w:spacing w:after="264"/>
        <w:rPr>
          <w:u w:val="single"/>
        </w:rPr>
      </w:pPr>
      <w:r>
        <w:rPr>
          <w:u w:val="single"/>
        </w:rPr>
        <w:lastRenderedPageBreak/>
        <w:t>Applicable Statute of Limitations</w:t>
      </w:r>
    </w:p>
    <w:p w14:paraId="3512E19F" w14:textId="77777777" w:rsidR="009041EF" w:rsidRDefault="009041EF" w:rsidP="009041EF">
      <w:pPr>
        <w:spacing w:after="264"/>
        <w:ind w:left="1080" w:hanging="360"/>
      </w:pPr>
      <w:r>
        <w:t xml:space="preserve">—  </w:t>
      </w:r>
      <w:r w:rsidRPr="00831308">
        <w:t>A claim for conversion must be brought within three years of the taking. (Code Civ. Proc., § 338(c).)</w:t>
      </w:r>
      <w:r>
        <w:t xml:space="preserve"> T</w:t>
      </w:r>
      <w:r w:rsidRPr="00831308">
        <w:t>he statute of limitations period begins running even if the owner was unaware of the conversion. (</w:t>
      </w:r>
      <w:r w:rsidRPr="00831308">
        <w:rPr>
          <w:i/>
          <w:iCs/>
        </w:rPr>
        <w:t>Naftzger v. American Numismatic Society</w:t>
      </w:r>
      <w:r w:rsidRPr="00831308">
        <w:t xml:space="preserve"> (1996) 42 Cal.App.4th 421, 429</w:t>
      </w:r>
      <w:r>
        <w:t xml:space="preserve">; </w:t>
      </w:r>
      <w:r w:rsidRPr="00BA7719">
        <w:rPr>
          <w:i/>
          <w:iCs/>
        </w:rPr>
        <w:t>Murphy v. Am. Gen. Life Ins. Co.</w:t>
      </w:r>
      <w:r>
        <w:rPr>
          <w:i/>
          <w:iCs/>
        </w:rPr>
        <w:t>, supra,</w:t>
      </w:r>
      <w:r>
        <w:t xml:space="preserve"> </w:t>
      </w:r>
      <w:r w:rsidRPr="00712D0D">
        <w:t xml:space="preserve">74 F.Supp.3d </w:t>
      </w:r>
      <w:r>
        <w:t>at</w:t>
      </w:r>
      <w:r w:rsidRPr="00712D0D">
        <w:t xml:space="preserve"> 1280</w:t>
      </w:r>
      <w:r w:rsidRPr="00831308">
        <w:t>.)</w:t>
      </w:r>
      <w:r>
        <w:t xml:space="preserve"> In other words, the “discovery” rule does not apply to conversion claims.</w:t>
      </w:r>
    </w:p>
    <w:p w14:paraId="30666C66" w14:textId="77777777" w:rsidR="009041EF" w:rsidRPr="00265AF8" w:rsidRDefault="009041EF" w:rsidP="009041EF">
      <w:pPr>
        <w:spacing w:after="264"/>
      </w:pPr>
      <w:r>
        <w:rPr>
          <w:u w:val="single"/>
        </w:rPr>
        <w:t>Application</w:t>
      </w:r>
      <w:r>
        <w:t>—Application of the Law to Client’s Facts</w:t>
      </w:r>
    </w:p>
    <w:p w14:paraId="64596483"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conversion</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5471DF2A"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2F8B257A" w14:textId="77777777" w:rsidR="009041EF" w:rsidRDefault="009041EF" w:rsidP="009041EF">
      <w:pPr>
        <w:spacing w:after="264"/>
        <w:ind w:left="1080" w:hanging="360"/>
        <w:rPr>
          <w:rFonts w:cs="Times New Roman"/>
          <w:szCs w:val="24"/>
        </w:rPr>
      </w:pPr>
      <w:r w:rsidRPr="0019188E">
        <w:rPr>
          <w:rFonts w:cs="Times New Roman"/>
          <w:szCs w:val="24"/>
          <w:highlight w:val="green"/>
        </w:rPr>
        <w:t>—  ***</w:t>
      </w:r>
    </w:p>
    <w:p w14:paraId="08297D49" w14:textId="77777777" w:rsidR="009041EF" w:rsidRDefault="009041EF" w:rsidP="009041EF">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3AB80355" w14:textId="77777777" w:rsidR="009041EF"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406494FE" w14:textId="77777777" w:rsidR="009041EF" w:rsidRPr="00F91EC6" w:rsidRDefault="009041EF" w:rsidP="009041EF">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TBD</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Los Angeles</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Los Angeles</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5F8902F" w14:textId="77777777" w:rsidR="00A35502" w:rsidRDefault="00A35502" w:rsidP="00A35502">
      <w:pPr>
        <w:spacing w:after="264"/>
        <w:rPr>
          <w:rFonts w:cs="Times New Roman"/>
        </w:rPr>
      </w:pPr>
      <w:r w:rsidRPr="00020852">
        <w:rPr>
          <w:rFonts w:cs="Times New Roman"/>
        </w:rPr>
        <w:t xml:space="preserve">Civil Code section 5930 requires parties to attempt alternative dispute resolution prior to filing certain types of lawsuits. While that provision of the Davis-Stirling Act </w:t>
      </w:r>
      <w:r w:rsidRPr="00020852">
        <w:rPr>
          <w:rFonts w:cs="Times New Roman"/>
          <w:i/>
          <w:iCs/>
        </w:rPr>
        <w:t>does</w:t>
      </w:r>
      <w:r w:rsidRPr="00020852">
        <w:rPr>
          <w:rFonts w:cs="Times New Roman"/>
        </w:rPr>
        <w:t xml:space="preserve"> apply in this matter, </w:t>
      </w:r>
      <w:r w:rsidRPr="00F2650E">
        <w:rPr>
          <w:rFonts w:cs="Times New Roman"/>
        </w:rPr>
        <w:t>Client complied with the statute and will be in a position to file the requisite Certificate of Compliance.</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TBD</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TBD</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Lench v. Denny Manor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