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451E" w:rsidP="005C2B5C">
      <w:pPr>
        <w:spacing w:after="264"/>
        <w:jc w:val="center"/>
        <w:rPr>
          <w:rFonts w:cs="Times New Roman"/>
          <w:b/>
          <w:bCs/>
          <w:sz w:val="44"/>
          <w:szCs w:val="44"/>
        </w:rPr>
      </w:pPr>
      <w:r>
        <w:rPr>
          <w:rFonts w:cs="Times New Roman"/>
          <w:b/>
          <w:bCs/>
          <w:sz w:val="44"/>
          <w:szCs w:val="44"/>
        </w:rPr>
        <w:t>Lenaghan v. Paraiso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451E" w:rsidP="00E31A1C">
      <w:pPr>
        <w:spacing w:afterLines="0" w:after="0"/>
        <w:jc w:val="center"/>
        <w:rPr>
          <w:rFonts w:cs="Times New Roman"/>
          <w:sz w:val="28"/>
          <w:szCs w:val="28"/>
        </w:rPr>
      </w:pPr>
      <w:r>
        <w:rPr>
          <w:rFonts w:cs="Times New Roman"/>
          <w:sz w:val="28"/>
          <w:szCs w:val="28"/>
        </w:rPr>
        <w:t>SE</w:t>
      </w:r>
    </w:p>
    <w:p w14:paraId="1B4DFB73" w14:textId="5904D99F"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D4451E">
        <w:rPr>
          <w:rFonts w:cs="Times New Roman"/>
          <w:noProof/>
          <w:szCs w:val="24"/>
        </w:rPr>
        <w:t>June 8,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451E" w:rsidP="00ED2D7D">
      <w:pPr>
        <w:spacing w:after="264"/>
        <w:rPr>
          <w:rFonts w:cs="Times New Roman"/>
          <w:szCs w:val="24"/>
        </w:rPr>
      </w:pPr>
      <w:r>
        <w:rPr>
          <w:rFonts w:cs="Times New Roman"/>
          <w:szCs w:val="24"/>
        </w:rPr>
        <w:t>
          Client owns the real property located at 5831 Seawalk Drive, Unit 240, Playa Vista, CA 90094 (the “Property”), making him a member of the Paraiso Community Association. Client retained the Firm to enforce his rights regarding a plumbing leak that originated at the Property on or about September 30, 2022, causing damage to the Property and the unit below the Property. The HOA has contended that Client is responsible for the leak, but Client objected and contended that it is a common area issue that the HOA is responsible for remediating at its expense. The HOA’s insurance company denied coverage. Client believes that the HOA did not properly assess the facts and evidence in reaching its conclusion. Client incurred cost to address the leak and provided us with this information.
          <w:br/>
          <w:br/>
          Assuming the evidence supports Client’s contention, Client has viable claims against the HOA for the following:
          <w:br/>
          <w:br/>
          (i) breach of CC&amp;Rs
          <w:br/>
          (ii) breach of other governing documents
          <w:br/>
          (iii) breach of board’s fiduciary duty
          <w:br/>
          (iv) negligence
          <w:br/>
          (v) nuisance
          <w:br/>
          (vi) declaratory relief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D4451E" w:rsidP="0054507B">
            <w:pPr>
              <w:spacing w:afterLines="0" w:after="0"/>
              <w:rPr>
                <w:rFonts w:cs="Times New Roman"/>
                <w:sz w:val="20"/>
                <w:szCs w:val="20"/>
              </w:rPr>
            </w:pPr>
            <w:r>
              <w:rPr>
                <w:rFonts w:cs="Times New Roman"/>
                <w:sz w:val="20"/>
                <w:szCs w:val="20"/>
              </w:rPr>
              <w:t>Kevin Lenaghan</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D4451E" w:rsidP="0054507B">
            <w:pPr>
              <w:spacing w:afterLines="0" w:after="0"/>
              <w:rPr>
                <w:rFonts w:cs="Times New Roman"/>
                <w:sz w:val="20"/>
                <w:szCs w:val="20"/>
              </w:rPr>
            </w:pPr>
            <w:r>
              <w:rPr>
                <w:rFonts w:cs="Times New Roman"/>
                <w:sz w:val="20"/>
                <w:szCs w:val="20"/>
              </w:rPr>
              <w:t>Paraiso Community Association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D4451E"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D4451E"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Nuisance is based on a property’s owner’s use of his or her own property in a way that adversely affects other property owners. Typical examples of a nuisance include things like 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451E"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451E" w:rsidP="00BA614F">
          <w:pPr>
            <w:pStyle w:val="Footer"/>
            <w:spacing w:after="264"/>
            <w:jc w:val="right"/>
            <w:rPr>
              <w:rFonts w:cs="Times New Roman"/>
              <w:sz w:val="18"/>
              <w:szCs w:val="18"/>
            </w:rPr>
          </w:pPr>
          <w:r>
            <w:rPr>
              <w:rFonts w:cs="Times New Roman"/>
              <w:sz w:val="18"/>
              <w:szCs w:val="18"/>
            </w:rPr>
            <w:t>Lenaghan v. Paraiso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451E"/>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20</Pages>
  <Words>28376</Words>
  <Characters>161745</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