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Davis v. 950 Harrison Street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William and Kathryn Davis (collectively, "Client") own the property located at 1005 El Cajon Dr., Danville, CA 94526, situated within 950 Harrison Homeowner’s Association. Client has used the Property as a rental property. Over the last three years, the Property has experienced persistent flooding in their unit from the HOA’s common drainage system, which converged near the Property and overflows during heavy rainfall, causing flooding in Client’s garage and subsequent seeping into the common wall shared with adjacent units. Street-level water back flew into Client’s unit, affecting indoor plumbing, and leading to flooding from the toilet and washing machine in the laundry room. Despite ongoing efforts, flooding occurred as recently as last month. The HOA arranged for remediation but refused to rebuild the damaged common wall. Client had to pay out-of-pocket expenses totaling approximately $3,000 for additional remediation work, including removal of drywall and installation of dehumidifiers. This work was necessary even though the HOA has replaced damaged carpets in the past. Due to the recurring issues and the flooding condition, Client could not put the Property for rent and incurred rental loss.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William and Kathryn Davis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950 Harrison Street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7, Section 7.4</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Davis v. 950 Harrison Street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