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Buono v. Adobe Creek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Client received email and verbal approval from an ARC member to paint his house to the exact same color as his neighbor’s house. He started the paint work before submitting an application to the ARC, and the HOA issued him a notice of violation, requesting a paint application for his paint work. Client submitted an application, which the HOA subsequently denied. The HOA’s denial indicated selective enforcement of the CC&amp;Rs and architectural guidelines.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Joseph Buono</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Adobe Creek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CC&amp;R and Architectural Guideline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Buono v. Adobe Creek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