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Vicente v. San Remo Villas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JR</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
          Client owns the real property located at 25325 Vista Hermosa, Lake Forest, CA 92630 (the “Property”), which is located within the HOA. Client experienced two ongoing common element remediation issues: (i) roof leak(s) resulting in water intrusion and mold; and (ii) fencing damage also resulting in water intrusion and mold. Despite acknowledging responsibility for the repairs to the Property, the HOA dragged its feet in performing the required repairs to the common area roof and the interior of the Property. 
          <w:br/>
          <w:br/>
          More recently, Client proceeded with performing repairs to the Property, which included common area repairs to the exterior (e.g., roof), reasoning that she tried to mitigate her damages to the interior of the unit.  Although Client contended that the HOA was aware of Client’s intention to proceed with common area repairs, the HOA (through its property manager) sent Client a cease and desist that she stop all work.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8557E" w:rsidP="00246DB4">
            <w:pPr>
              <w:spacing w:afterLines="0" w:after="0"/>
              <w:rPr>
                <w:rFonts w:ascii="Times New Roman" w:hAnsi="Times New Roman" w:cs="Times New Roman"/>
                <w:sz w:val="20"/>
                <w:szCs w:val="20"/>
              </w:rPr>
            </w:pPr>
            <w:r>
              <w:rPr>
                <w:rFonts w:cs="Times New Roman"/>
                <w:sz w:val="20"/>
                <w:szCs w:val="20"/>
              </w:rPr>
              <w:t>Christina Vicente</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San Remo Villas Homeowners Association ("HOA")</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HOA</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Paula Arciga</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Point of contact for The Management Association, Inc. aka "The Management Trust" (HOA management company)</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Sheryl Sterry</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HOA President</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Kimberly Streetman</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HOA Board Member</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Damon Jawitz</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8557E" w:rsidP="009855CA">
            <w:pPr>
              <w:spacing w:afterLines="0" w:after="0"/>
              <w:rPr>
                <w:rFonts w:ascii="Times New Roman" w:hAnsi="Times New Roman" w:cs="Times New Roman"/>
                <w:sz w:val="20"/>
                <w:szCs w:val="20"/>
              </w:rPr>
            </w:pPr>
            <w:r>
              <w:rPr>
                <w:rFonts w:cs="Times New Roman"/>
                <w:sz w:val="20"/>
                <w:szCs w:val="20"/>
              </w:rPr>
              <w:t>HOA Board Member</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Higher-resolution color photographs of the leak damage inside the home and the exterior stucco area allowing water intrusion into the home.</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The same information stated above for the roof repair, but relating to the 2022-2023 fence repair (concrete barrier).</w:t>
      </w:r>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Clarification on 10/21/2024 email chain as far as the approval of Mold Solutionz to perform the build-back since Client had the understanding it was approved, but The Management Trust claimed it was conditionally approved on certain items being backed out of the invoice/proposal (particularly color-matching).</w:t>
      </w:r>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r>
        <w:rPr>
          <w:rFonts w:cs="Times New Roman"/>
          <w:szCs w:val="24"/>
        </w:rPr>
        <w:t>All estimates and invoices for vendors not already provided, ideally organized in accordance with roof versus fence repairs (or proposals to repair).</w:t>
      </w:r>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r>
        <w:rPr>
          <w:rFonts w:cs="Times New Roman"/>
          <w:szCs w:val="24"/>
        </w:rPr>
        <w:t>The work order paperwork or other submission paperwork sent to the HOA/The Management Trust regarding both the roof and fence. We have an indirect copy of the roof submission, but it may be helpful to see what Client actually submitted.</w:t>
      </w:r>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r>
        <w:rPr>
          <w:rFonts w:cs="Times New Roman"/>
          <w:szCs w:val="24"/>
        </w:rPr>
        <w:t>Copy of the Association Maintenance Matrix referenced in the Water Intrusion Policy.</w:t>
      </w:r>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Article XX, Section 7</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January 23, 2027</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Vicente v. San Remo Villas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