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D41496" w:rsidP="005C2B5C">
      <w:pPr>
        <w:spacing w:after="264"/>
        <w:jc w:val="center"/>
        <w:rPr>
          <w:rFonts w:cs="Times New Roman"/>
          <w:b/>
          <w:bCs/>
          <w:sz w:val="44"/>
          <w:szCs w:val="44"/>
        </w:rPr>
      </w:pPr>
      <w:r>
        <w:rPr>
          <w:rFonts w:cs="Times New Roman"/>
          <w:b/>
          <w:bCs/>
          <w:sz w:val="44"/>
          <w:szCs w:val="44"/>
        </w:rPr>
        <w:t>Starr v. Toluca Village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SE</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D41496" w:rsidP="00ED2D7D">
      <w:pPr>
        <w:spacing w:after="264"/>
        <w:rPr>
          <w:rFonts w:cs="Times New Roman"/>
          <w:szCs w:val="24"/>
        </w:rPr>
      </w:pPr>
      <w:r>
        <w:rPr>
          <w:rFonts w:cs="Times New Roman"/>
          <w:szCs w:val="24"/>
        </w:rPr>
        <w:t>short summary</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D41496" w:rsidP="0054507B">
            <w:pPr>
              <w:spacing w:afterLines="0" w:after="0"/>
              <w:rPr>
                <w:rFonts w:cs="Times New Roman"/>
                <w:sz w:val="20"/>
                <w:szCs w:val="20"/>
              </w:rPr>
            </w:pPr>
            <w:r>
              <w:rPr>
                <w:rFonts w:cs="Times New Roman"/>
                <w:sz w:val="20"/>
                <w:szCs w:val="20"/>
              </w:rPr>
              <w:t>Donna Starr</w:t>
            </w:r>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D41496" w:rsidP="0054507B">
            <w:pPr>
              <w:spacing w:afterLines="0" w:after="0"/>
              <w:rPr>
                <w:rFonts w:cs="Times New Roman"/>
                <w:sz w:val="20"/>
                <w:szCs w:val="20"/>
              </w:rPr>
            </w:pPr>
            <w:r>
              <w:rPr>
                <w:rFonts w:cs="Times New Roman"/>
                <w:sz w:val="20"/>
                <w:szCs w:val="20"/>
              </w:rPr>
              <w:t>Toluca Village Owners Association</w:t>
            </w:r>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D41496" w:rsidP="0054507B">
            <w:pPr>
              <w:spacing w:afterLines="0" w:after="0"/>
              <w:rPr>
                <w:rFonts w:cs="Times New Roman"/>
                <w:sz w:val="20"/>
                <w:szCs w:val="20"/>
              </w:rPr>
            </w:pPr>
            <w:r>
              <w:rPr>
                <w:rFonts w:cs="Times New Roman"/>
                <w:sz w:val="20"/>
                <w:szCs w:val="20"/>
              </w:rPr>
              <w:t>HOA</w:t>
            </w:r>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 xml:space="preserve">Lamden v. La Jolla Shores </w:t>
      </w:r>
      <w:proofErr w:type="spellStart"/>
      <w:r w:rsidR="006647C1" w:rsidRPr="006647C1">
        <w:rPr>
          <w:rFonts w:cs="Times New Roman"/>
          <w:bCs/>
          <w:i/>
          <w:iCs/>
          <w:szCs w:val="24"/>
        </w:rPr>
        <w:t>Clubdominium</w:t>
      </w:r>
      <w:proofErr w:type="spellEnd"/>
      <w:r w:rsidR="006647C1" w:rsidRPr="006647C1">
        <w:rPr>
          <w:rFonts w:cs="Times New Roman"/>
          <w:bCs/>
          <w:i/>
          <w:iCs/>
          <w:szCs w:val="24"/>
        </w:rPr>
        <w:t xml:space="preserve">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 xml:space="preserve">Lamden v. La Jolla Shores </w:t>
      </w:r>
      <w:proofErr w:type="spellStart"/>
      <w:r w:rsidR="004E56BA" w:rsidRPr="001875C5">
        <w:rPr>
          <w:rFonts w:cs="Times New Roman"/>
          <w:bCs/>
          <w:i/>
          <w:iCs/>
          <w:szCs w:val="24"/>
        </w:rPr>
        <w:t>Clubdominium</w:t>
      </w:r>
      <w:proofErr w:type="spellEnd"/>
      <w:r w:rsidR="004E56BA" w:rsidRPr="001875C5">
        <w:rPr>
          <w:rFonts w:cs="Times New Roman"/>
          <w:bCs/>
          <w:i/>
          <w:iCs/>
          <w:szCs w:val="24"/>
        </w:rPr>
        <w:t xml:space="preserve">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proofErr w:type="spellStart"/>
      <w:r w:rsidR="009A5946" w:rsidRPr="007D7A8E">
        <w:rPr>
          <w:rFonts w:cs="Times New Roman"/>
          <w:bCs/>
          <w:szCs w:val="24"/>
          <w:lang w:val="es-ES"/>
        </w:rPr>
        <w:t>Code</w:t>
      </w:r>
      <w:proofErr w:type="spellEnd"/>
      <w:r w:rsidR="009A5946" w:rsidRPr="007D7A8E">
        <w:rPr>
          <w:rFonts w:cs="Times New Roman"/>
          <w:bCs/>
          <w:szCs w:val="24"/>
          <w:lang w:val="es-ES"/>
        </w:rPr>
        <w:t xml:space="preserv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1F6E509D" w14:textId="77777777" w:rsidR="003F0E15" w:rsidRDefault="002D206C"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009B4639" w:rsidRPr="009B4639">
        <w:rPr>
          <w:rFonts w:cs="Times New Roman"/>
          <w:bCs/>
          <w:szCs w:val="24"/>
          <w:highlight w:val="green"/>
        </w:rPr>
        <w:t xml:space="preserve"> the </w:t>
      </w:r>
      <w:r w:rsidR="009B4639" w:rsidRPr="006D2A6D">
        <w:rPr>
          <w:rFonts w:cs="Times New Roman"/>
          <w:bCs/>
          <w:i/>
          <w:iCs/>
          <w:szCs w:val="24"/>
          <w:highlight w:val="green"/>
          <w:u w:val="single"/>
        </w:rPr>
        <w:t>strength</w:t>
      </w:r>
      <w:r w:rsidR="006D2A6D" w:rsidRPr="006D2A6D">
        <w:rPr>
          <w:rFonts w:cs="Times New Roman"/>
          <w:bCs/>
          <w:i/>
          <w:iCs/>
          <w:szCs w:val="24"/>
          <w:highlight w:val="green"/>
          <w:u w:val="single"/>
        </w:rPr>
        <w:t>s</w:t>
      </w:r>
      <w:r w:rsidR="009B4639" w:rsidRPr="009B4639">
        <w:rPr>
          <w:rFonts w:cs="Times New Roman"/>
          <w:bCs/>
          <w:szCs w:val="24"/>
          <w:highlight w:val="green"/>
        </w:rPr>
        <w:t xml:space="preserve"> of this particular cause of action given the evidence at our disposal. </w:t>
      </w:r>
    </w:p>
    <w:p w14:paraId="26085B79" w14:textId="77777777" w:rsidR="003F0E15" w:rsidRDefault="006D2A6D"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lastRenderedPageBreak/>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FD96558"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13FADB18"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85D10E6" w14:textId="77777777" w:rsidR="003F0E15" w:rsidRDefault="00827681"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91441CE" w14:textId="77777777" w:rsidR="003F0E15" w:rsidRDefault="00863CDD" w:rsidP="00863CDD">
      <w:pPr>
        <w:spacing w:after="264"/>
        <w:ind w:left="1080" w:hanging="360"/>
        <w:rPr>
          <w:rFonts w:cs="Times New Roman"/>
          <w:bCs/>
          <w:szCs w:val="24"/>
        </w:rPr>
      </w:pPr>
      <w:r>
        <w:rPr>
          <w:rFonts w:cs="Times New Roman"/>
          <w:bCs/>
          <w:szCs w:val="24"/>
        </w:rPr>
        <w:lastRenderedPageBreak/>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6D7D5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lastRenderedPageBreak/>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E6F3EF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665499D0"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lastRenderedPageBreak/>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lastRenderedPageBreak/>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84E9100"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1B77870A"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w:t>
      </w:r>
      <w:r w:rsidRPr="00177B61">
        <w:rPr>
          <w:rFonts w:cs="Times New Roman"/>
          <w:bCs/>
          <w:szCs w:val="24"/>
        </w:rPr>
        <w:lastRenderedPageBreak/>
        <w:t xml:space="preserve">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w:t>
      </w:r>
      <w:proofErr w:type="spellStart"/>
      <w:r>
        <w:rPr>
          <w:rFonts w:cs="Times New Roman"/>
          <w:bCs/>
          <w:szCs w:val="24"/>
        </w:rPr>
        <w:t>affect</w:t>
      </w:r>
      <w:proofErr w:type="spellEnd"/>
      <w:r>
        <w:rPr>
          <w:rFonts w:cs="Times New Roman"/>
          <w:bCs/>
          <w:szCs w:val="24"/>
        </w:rPr>
        <w:t xml:space="preserve">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w:t>
      </w:r>
      <w:r w:rsidRPr="002D568B">
        <w:rPr>
          <w:rFonts w:cs="Times New Roman"/>
          <w:bCs/>
          <w:szCs w:val="24"/>
        </w:rPr>
        <w:lastRenderedPageBreak/>
        <w:t>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Note: There is no permissive disqualification for non-payment of fines. The above permissive disqualification for payment of assessments does not apply to payment of fines. An association may not disqualify a nominee for nonpayment of fines, fines renamed as 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lastRenderedPageBreak/>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The big change for 2020 is that the inspector of elections cannot be the property 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lastRenderedPageBreak/>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16CADA4"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3B3BFC0"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9974A6D"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5902E5">
        <w:t>Defamation</w:t>
      </w:r>
    </w:p>
    <w:p w14:paraId="5556F2D0" w14:textId="77777777" w:rsidR="003F0E15" w:rsidRDefault="005902E5" w:rsidP="005902E5">
      <w:pPr>
        <w:spacing w:after="264"/>
        <w:rPr>
          <w:rFonts w:cs="Times New Roman"/>
          <w:bCs/>
          <w:szCs w:val="24"/>
        </w:rPr>
      </w:pPr>
      <w:r w:rsidRPr="00CB10A8">
        <w:rPr>
          <w:rFonts w:cs="Times New Roman"/>
          <w:bCs/>
          <w:szCs w:val="24"/>
          <w:u w:val="single"/>
        </w:rPr>
        <w:t>Elements</w:t>
      </w:r>
      <w:r>
        <w:rPr>
          <w:rFonts w:cs="Times New Roman"/>
          <w:bCs/>
          <w:szCs w:val="24"/>
        </w:rPr>
        <w:t>—Defamation.</w:t>
      </w:r>
    </w:p>
    <w:p w14:paraId="433ECEA9" w14:textId="77777777" w:rsidR="003F0E15" w:rsidRDefault="005902E5" w:rsidP="005902E5">
      <w:pPr>
        <w:spacing w:after="264"/>
        <w:ind w:left="1080" w:hanging="360"/>
        <w:rPr>
          <w:rFonts w:cs="Times New Roman"/>
          <w:bCs/>
          <w:szCs w:val="24"/>
        </w:rPr>
      </w:pPr>
      <w:r>
        <w:rPr>
          <w:rFonts w:cs="Times New Roman"/>
          <w:bCs/>
          <w:szCs w:val="24"/>
        </w:rPr>
        <w:t xml:space="preserve">—  </w:t>
      </w:r>
      <w:r w:rsidR="00126ED8">
        <w:rPr>
          <w:rFonts w:cs="Times New Roman"/>
          <w:bCs/>
          <w:szCs w:val="24"/>
        </w:rPr>
        <w:t>To prove a claim for defamation, a plaintiff must prove that there was a “publication” that was false, defamatory, unprivileged, and that the publication had a natural tendency to injure or cause special damage. (</w:t>
      </w:r>
      <w:r w:rsidR="00126ED8" w:rsidRPr="00126ED8">
        <w:rPr>
          <w:rFonts w:cs="Times New Roman"/>
          <w:bCs/>
          <w:i/>
          <w:iCs/>
          <w:szCs w:val="24"/>
        </w:rPr>
        <w:t>Wong v. Jing</w:t>
      </w:r>
      <w:r w:rsidR="00126ED8" w:rsidRPr="00126ED8">
        <w:rPr>
          <w:rFonts w:cs="Times New Roman"/>
          <w:bCs/>
          <w:szCs w:val="24"/>
        </w:rPr>
        <w:t xml:space="preserve"> (2010) 189 Cal.App.4th 1354, 1369.)</w:t>
      </w:r>
      <w:r w:rsidR="00E27ED9">
        <w:rPr>
          <w:rFonts w:cs="Times New Roman"/>
          <w:bCs/>
          <w:szCs w:val="24"/>
        </w:rPr>
        <w:t xml:space="preserve"> </w:t>
      </w:r>
    </w:p>
    <w:p w14:paraId="7C058920" w14:textId="77777777" w:rsidR="003F0E15" w:rsidRDefault="00126ED8" w:rsidP="00E27ED9">
      <w:pPr>
        <w:spacing w:after="264"/>
        <w:ind w:left="1080" w:hanging="360"/>
        <w:rPr>
          <w:rFonts w:cs="Times New Roman"/>
          <w:bCs/>
          <w:szCs w:val="24"/>
        </w:rPr>
      </w:pPr>
      <w:r>
        <w:rPr>
          <w:rFonts w:cs="Times New Roman"/>
          <w:bCs/>
          <w:szCs w:val="24"/>
        </w:rPr>
        <w:t>—  There are two broad categories of d</w:t>
      </w:r>
      <w:r w:rsidR="0033460C">
        <w:rPr>
          <w:rFonts w:cs="Times New Roman"/>
          <w:bCs/>
          <w:szCs w:val="24"/>
        </w:rPr>
        <w:t>efamation</w:t>
      </w:r>
      <w:r>
        <w:rPr>
          <w:rFonts w:cs="Times New Roman"/>
          <w:bCs/>
          <w:szCs w:val="24"/>
        </w:rPr>
        <w:t>—slander (oral) and libel (written), both of which can themselves be divided into two categories</w:t>
      </w:r>
      <w:r w:rsidR="00E27ED9">
        <w:rPr>
          <w:rFonts w:cs="Times New Roman"/>
          <w:bCs/>
          <w:szCs w:val="24"/>
        </w:rPr>
        <w:t>—</w:t>
      </w:r>
      <w:r w:rsidR="00E27ED9" w:rsidRPr="00E27ED9">
        <w:rPr>
          <w:rFonts w:cs="Times New Roman"/>
          <w:bCs/>
          <w:i/>
          <w:iCs/>
          <w:szCs w:val="24"/>
        </w:rPr>
        <w:t xml:space="preserve">per </w:t>
      </w:r>
      <w:proofErr w:type="spellStart"/>
      <w:r w:rsidR="00E27ED9" w:rsidRPr="00E27ED9">
        <w:rPr>
          <w:rFonts w:cs="Times New Roman"/>
          <w:bCs/>
          <w:i/>
          <w:iCs/>
          <w:szCs w:val="24"/>
        </w:rPr>
        <w:t>quod</w:t>
      </w:r>
      <w:proofErr w:type="spellEnd"/>
      <w:r w:rsidR="00E27ED9">
        <w:rPr>
          <w:rFonts w:cs="Times New Roman"/>
          <w:bCs/>
          <w:szCs w:val="24"/>
        </w:rPr>
        <w:t xml:space="preserve"> and </w:t>
      </w:r>
      <w:r w:rsidR="00E27ED9" w:rsidRPr="00E27ED9">
        <w:rPr>
          <w:rFonts w:cs="Times New Roman"/>
          <w:bCs/>
          <w:i/>
          <w:iCs/>
          <w:szCs w:val="24"/>
        </w:rPr>
        <w:t>per se</w:t>
      </w:r>
      <w:r>
        <w:rPr>
          <w:rFonts w:cs="Times New Roman"/>
          <w:bCs/>
          <w:szCs w:val="24"/>
        </w:rPr>
        <w:t>.</w:t>
      </w:r>
    </w:p>
    <w:p w14:paraId="40FB3581"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slander </w:t>
      </w:r>
      <w:r w:rsidR="0016546D" w:rsidRPr="0016546D">
        <w:rPr>
          <w:rFonts w:cs="Times New Roman"/>
          <w:bCs/>
          <w:i/>
          <w:iCs/>
          <w:szCs w:val="24"/>
        </w:rPr>
        <w:t xml:space="preserve">per </w:t>
      </w:r>
      <w:proofErr w:type="spellStart"/>
      <w:r w:rsidR="0016546D" w:rsidRPr="0016546D">
        <w:rPr>
          <w:rFonts w:cs="Times New Roman"/>
          <w:bCs/>
          <w:i/>
          <w:iCs/>
          <w:szCs w:val="24"/>
        </w:rPr>
        <w:t>quod</w:t>
      </w:r>
      <w:proofErr w:type="spellEnd"/>
      <w:r w:rsidR="0016546D">
        <w:rPr>
          <w:rFonts w:cs="Times New Roman"/>
          <w:bCs/>
          <w:szCs w:val="24"/>
        </w:rPr>
        <w:t xml:space="preserve">, </w:t>
      </w:r>
      <w:r w:rsidR="00F44786">
        <w:rPr>
          <w:rFonts w:cs="Times New Roman"/>
          <w:bCs/>
          <w:szCs w:val="24"/>
        </w:rPr>
        <w:t xml:space="preserve">defamation is </w:t>
      </w:r>
      <w:r w:rsidR="0016546D" w:rsidRPr="0016546D">
        <w:rPr>
          <w:rFonts w:cs="Times New Roman"/>
          <w:bCs/>
          <w:szCs w:val="24"/>
        </w:rPr>
        <w:t>“</w:t>
      </w:r>
      <w:r w:rsidR="005E3BD7">
        <w:rPr>
          <w:rFonts w:cs="Times New Roman"/>
          <w:bCs/>
          <w:szCs w:val="24"/>
        </w:rPr>
        <w:t>[a]</w:t>
      </w:r>
      <w:r w:rsidR="0016546D" w:rsidRPr="0016546D">
        <w:rPr>
          <w:rFonts w:cs="Times New Roman"/>
          <w:bCs/>
          <w:szCs w:val="24"/>
        </w:rPr>
        <w:t xml:space="preserve"> false and unprivileged oral communication attributing to a person specific misdeeds or certain unfavorable characteristics or qualities, or uttering certain other derogatory statements regarding a person</w:t>
      </w:r>
      <w:r w:rsidR="00F44786">
        <w:rPr>
          <w:rFonts w:cs="Times New Roman"/>
          <w:bCs/>
          <w:szCs w:val="24"/>
        </w:rPr>
        <w:t>. . . .</w:t>
      </w:r>
      <w:r w:rsidR="0016546D" w:rsidRPr="0016546D">
        <w:rPr>
          <w:rFonts w:cs="Times New Roman"/>
          <w:bCs/>
          <w:szCs w:val="24"/>
        </w:rPr>
        <w:t>” (</w:t>
      </w:r>
      <w:r w:rsidR="0016546D" w:rsidRPr="0016546D">
        <w:rPr>
          <w:rFonts w:cs="Times New Roman"/>
          <w:bCs/>
          <w:i/>
          <w:iCs/>
          <w:szCs w:val="24"/>
        </w:rPr>
        <w:t>Shively v. Bozanich</w:t>
      </w:r>
      <w:r w:rsidR="0016546D" w:rsidRPr="0016546D">
        <w:rPr>
          <w:rFonts w:cs="Times New Roman"/>
          <w:bCs/>
          <w:szCs w:val="24"/>
        </w:rPr>
        <w:t xml:space="preserve"> (2003) 31 Cal.4th 1230, 1242, as modified.)</w:t>
      </w:r>
      <w:r w:rsidR="002C7F35">
        <w:rPr>
          <w:rFonts w:cs="Times New Roman"/>
          <w:bCs/>
          <w:szCs w:val="24"/>
        </w:rPr>
        <w:t xml:space="preserve"> A statement is slanderous </w:t>
      </w:r>
      <w:r w:rsidR="002C7F35">
        <w:rPr>
          <w:rFonts w:cs="Times New Roman"/>
          <w:bCs/>
          <w:i/>
          <w:iCs/>
          <w:szCs w:val="24"/>
        </w:rPr>
        <w:t>per se</w:t>
      </w:r>
      <w:r w:rsidR="002C7F35">
        <w:rPr>
          <w:rFonts w:cs="Times New Roman"/>
          <w:bCs/>
          <w:szCs w:val="24"/>
        </w:rPr>
        <w:t>—i.e., no special damages need to be proven—if the statement falls within one of the first four categories contained in Civil Code section 46 (e.g., statements: (i) that plaintiff was indicted or committed a crime; (ii) that plaintiff was infectious, contagious, or had a “loathsome” disease; (iii) directly tended to injure plaintiff regarding his trade/profession, or that impute that plaintiff is disqualified for that, or any other profession, where such imputation has a tendency to decrease plaintiff’s profits; and (iv) about plaintiff’s impotence or lack of chastity—i.e., calling someone a whore/slut.</w:t>
      </w:r>
    </w:p>
    <w:p w14:paraId="45714263"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libel </w:t>
      </w:r>
      <w:r w:rsidR="0016546D" w:rsidRPr="005B23E2">
        <w:rPr>
          <w:rFonts w:cs="Times New Roman"/>
          <w:bCs/>
          <w:i/>
          <w:iCs/>
          <w:szCs w:val="24"/>
        </w:rPr>
        <w:t xml:space="preserve">per </w:t>
      </w:r>
      <w:proofErr w:type="spellStart"/>
      <w:r w:rsidR="0016546D" w:rsidRPr="005B23E2">
        <w:rPr>
          <w:rFonts w:cs="Times New Roman"/>
          <w:bCs/>
          <w:i/>
          <w:iCs/>
          <w:szCs w:val="24"/>
        </w:rPr>
        <w:t>quod</w:t>
      </w:r>
      <w:proofErr w:type="spellEnd"/>
      <w:r w:rsidR="0016546D">
        <w:rPr>
          <w:rFonts w:cs="Times New Roman"/>
          <w:bCs/>
          <w:szCs w:val="24"/>
        </w:rPr>
        <w:t>, where the d</w:t>
      </w:r>
      <w:r w:rsidR="0016546D" w:rsidRPr="00E27ED9">
        <w:rPr>
          <w:rFonts w:cs="Times New Roman"/>
          <w:bCs/>
          <w:szCs w:val="24"/>
        </w:rPr>
        <w:t xml:space="preserve">efamatory language </w:t>
      </w:r>
      <w:r w:rsidR="0016546D">
        <w:rPr>
          <w:rFonts w:cs="Times New Roman"/>
          <w:bCs/>
          <w:szCs w:val="24"/>
        </w:rPr>
        <w:t xml:space="preserve">is </w:t>
      </w:r>
      <w:r w:rsidR="0016546D" w:rsidRPr="005B23E2">
        <w:rPr>
          <w:rFonts w:cs="Times New Roman"/>
          <w:bCs/>
          <w:i/>
          <w:iCs/>
          <w:szCs w:val="24"/>
        </w:rPr>
        <w:t>not</w:t>
      </w:r>
      <w:r w:rsidR="0016546D">
        <w:rPr>
          <w:rFonts w:cs="Times New Roman"/>
          <w:bCs/>
          <w:szCs w:val="24"/>
        </w:rPr>
        <w:t xml:space="preserve"> </w:t>
      </w:r>
      <w:r w:rsidR="0016546D" w:rsidRPr="00E27ED9">
        <w:rPr>
          <w:rFonts w:cs="Times New Roman"/>
          <w:bCs/>
          <w:szCs w:val="24"/>
        </w:rPr>
        <w:t>libelous on its face</w:t>
      </w:r>
      <w:r w:rsidR="0016546D">
        <w:rPr>
          <w:rFonts w:cs="Times New Roman"/>
          <w:bCs/>
          <w:szCs w:val="24"/>
        </w:rPr>
        <w:t>, it</w:t>
      </w:r>
      <w:r w:rsidR="0016546D" w:rsidRPr="00E27ED9">
        <w:rPr>
          <w:rFonts w:cs="Times New Roman"/>
          <w:bCs/>
          <w:szCs w:val="24"/>
        </w:rPr>
        <w:t xml:space="preserve"> is not actionable unless the plaintiff alleges and proves that he </w:t>
      </w:r>
      <w:r w:rsidR="0016546D">
        <w:rPr>
          <w:rFonts w:cs="Times New Roman"/>
          <w:bCs/>
          <w:szCs w:val="24"/>
        </w:rPr>
        <w:t xml:space="preserve">or she </w:t>
      </w:r>
      <w:r w:rsidR="0016546D" w:rsidRPr="00E27ED9">
        <w:rPr>
          <w:rFonts w:cs="Times New Roman"/>
          <w:bCs/>
          <w:szCs w:val="24"/>
        </w:rPr>
        <w:t xml:space="preserve">has suffered </w:t>
      </w:r>
      <w:r w:rsidR="0016546D" w:rsidRPr="005B23E2">
        <w:rPr>
          <w:rFonts w:cs="Times New Roman"/>
          <w:bCs/>
          <w:i/>
          <w:iCs/>
          <w:szCs w:val="24"/>
        </w:rPr>
        <w:t>special damag</w:t>
      </w:r>
      <w:r w:rsidR="0016546D" w:rsidRPr="00E27ED9">
        <w:rPr>
          <w:rFonts w:cs="Times New Roman"/>
          <w:bCs/>
          <w:szCs w:val="24"/>
        </w:rPr>
        <w:t xml:space="preserve">e </w:t>
      </w:r>
      <w:r w:rsidR="0016546D">
        <w:rPr>
          <w:rFonts w:cs="Times New Roman"/>
          <w:bCs/>
          <w:szCs w:val="24"/>
        </w:rPr>
        <w:t>as a proximate results of the “publication” of the false statement.</w:t>
      </w:r>
      <w:r w:rsidR="0016546D" w:rsidRPr="00E27ED9">
        <w:rPr>
          <w:rFonts w:cs="Times New Roman"/>
          <w:bCs/>
          <w:szCs w:val="24"/>
        </w:rPr>
        <w:t xml:space="preserve"> (</w:t>
      </w:r>
      <w:r w:rsidR="0016546D" w:rsidRPr="00E27ED9">
        <w:rPr>
          <w:rFonts w:cs="Times New Roman"/>
          <w:bCs/>
          <w:i/>
          <w:iCs/>
          <w:szCs w:val="24"/>
        </w:rPr>
        <w:t>Barnes-Hind, Inc. v. Superior Court</w:t>
      </w:r>
      <w:r w:rsidR="0016546D" w:rsidRPr="00E27ED9">
        <w:rPr>
          <w:rFonts w:cs="Times New Roman"/>
          <w:bCs/>
          <w:szCs w:val="24"/>
        </w:rPr>
        <w:t xml:space="preserve"> (1986) 181 Cal.App.3d 377, 382.)</w:t>
      </w:r>
      <w:r w:rsidR="0016546D">
        <w:rPr>
          <w:rFonts w:cs="Times New Roman"/>
          <w:bCs/>
          <w:szCs w:val="24"/>
        </w:rPr>
        <w:t xml:space="preserve"> On the other hand, a libelous statement that is obviously defamatory without the necessity of any explanatory matter (e.g., an inducement, inuendo, or other extrinsic fact), is considered libel on its face, and is known as libel </w:t>
      </w:r>
      <w:r w:rsidR="0016546D">
        <w:rPr>
          <w:rFonts w:cs="Times New Roman"/>
          <w:bCs/>
          <w:i/>
          <w:iCs/>
          <w:szCs w:val="24"/>
        </w:rPr>
        <w:t>per se</w:t>
      </w:r>
      <w:r w:rsidR="0016546D">
        <w:rPr>
          <w:rFonts w:cs="Times New Roman"/>
          <w:bCs/>
          <w:szCs w:val="24"/>
        </w:rPr>
        <w:t>. (</w:t>
      </w:r>
      <w:r w:rsidR="00426749" w:rsidRPr="00426749">
        <w:rPr>
          <w:rFonts w:cs="Times New Roman"/>
          <w:bCs/>
          <w:i/>
          <w:szCs w:val="24"/>
        </w:rPr>
        <w:t>Ibid</w:t>
      </w:r>
      <w:r w:rsidR="0016546D">
        <w:rPr>
          <w:rFonts w:cs="Times New Roman"/>
          <w:bCs/>
          <w:i/>
          <w:iCs/>
          <w:szCs w:val="24"/>
        </w:rPr>
        <w:t>.</w:t>
      </w:r>
      <w:r w:rsidR="0016546D">
        <w:rPr>
          <w:rFonts w:cs="Times New Roman"/>
          <w:bCs/>
          <w:szCs w:val="24"/>
        </w:rPr>
        <w:t>)</w:t>
      </w:r>
    </w:p>
    <w:p w14:paraId="71DB23E4" w14:textId="77777777" w:rsidR="003F0E15" w:rsidRDefault="0063061C" w:rsidP="0063061C">
      <w:pPr>
        <w:spacing w:after="264"/>
        <w:ind w:left="1080" w:hanging="360"/>
        <w:rPr>
          <w:rFonts w:cs="Times New Roman"/>
          <w:bCs/>
          <w:szCs w:val="24"/>
        </w:rPr>
      </w:pPr>
      <w:r>
        <w:rPr>
          <w:rFonts w:cs="Times New Roman"/>
          <w:bCs/>
          <w:szCs w:val="24"/>
        </w:rPr>
        <w:t xml:space="preserve">—  </w:t>
      </w:r>
      <w:r w:rsidRPr="0063061C">
        <w:rPr>
          <w:rFonts w:cs="Times New Roman"/>
          <w:bCs/>
          <w:szCs w:val="24"/>
        </w:rPr>
        <w:t xml:space="preserve">Under the “single publication rule,” </w:t>
      </w:r>
      <w:r>
        <w:rPr>
          <w:rFonts w:cs="Times New Roman"/>
          <w:bCs/>
          <w:szCs w:val="24"/>
        </w:rPr>
        <w:t xml:space="preserve">even though an individual false statement may be reprinted or republished multiple times (e.g., such as in multiple copies of magazines or newspapers), for purposes of alleging a cause of action for defamation, there is only </w:t>
      </w:r>
      <w:r w:rsidRPr="0063061C">
        <w:rPr>
          <w:rFonts w:cs="Times New Roman"/>
          <w:bCs/>
          <w:i/>
          <w:iCs/>
          <w:szCs w:val="24"/>
        </w:rPr>
        <w:t>one</w:t>
      </w:r>
      <w:r>
        <w:rPr>
          <w:rFonts w:cs="Times New Roman"/>
          <w:bCs/>
          <w:szCs w:val="24"/>
        </w:rPr>
        <w:t xml:space="preserve"> claim. </w:t>
      </w:r>
      <w:r w:rsidRPr="0063061C">
        <w:rPr>
          <w:rFonts w:cs="Times New Roman"/>
          <w:bCs/>
          <w:szCs w:val="24"/>
        </w:rPr>
        <w:t>(</w:t>
      </w:r>
      <w:r w:rsidRPr="0063061C">
        <w:rPr>
          <w:rFonts w:cs="Times New Roman"/>
          <w:bCs/>
          <w:i/>
          <w:iCs/>
          <w:szCs w:val="24"/>
        </w:rPr>
        <w:t>Shively v. Bozanich</w:t>
      </w:r>
      <w:r>
        <w:rPr>
          <w:rFonts w:cs="Times New Roman"/>
          <w:bCs/>
          <w:szCs w:val="24"/>
        </w:rPr>
        <w:t xml:space="preserve">, </w:t>
      </w:r>
      <w:r w:rsidRPr="0063061C">
        <w:rPr>
          <w:rFonts w:cs="Times New Roman"/>
          <w:bCs/>
          <w:i/>
          <w:iCs/>
          <w:szCs w:val="24"/>
        </w:rPr>
        <w:t>supra</w:t>
      </w:r>
      <w:r>
        <w:rPr>
          <w:rFonts w:cs="Times New Roman"/>
          <w:bCs/>
          <w:szCs w:val="24"/>
        </w:rPr>
        <w:t xml:space="preserve">, </w:t>
      </w:r>
      <w:r w:rsidRPr="0063061C">
        <w:rPr>
          <w:rFonts w:cs="Times New Roman"/>
          <w:bCs/>
          <w:szCs w:val="24"/>
        </w:rPr>
        <w:t xml:space="preserve">31 Cal.4th </w:t>
      </w:r>
      <w:r>
        <w:rPr>
          <w:rFonts w:cs="Times New Roman"/>
          <w:bCs/>
          <w:szCs w:val="24"/>
        </w:rPr>
        <w:t xml:space="preserve">at 1246-1249.) </w:t>
      </w:r>
      <w:r w:rsidR="0040010D">
        <w:rPr>
          <w:rFonts w:cs="Times New Roman"/>
          <w:bCs/>
          <w:szCs w:val="24"/>
        </w:rPr>
        <w:t>R</w:t>
      </w:r>
      <w:r w:rsidRPr="0063061C">
        <w:rPr>
          <w:rFonts w:cs="Times New Roman"/>
          <w:bCs/>
          <w:szCs w:val="24"/>
        </w:rPr>
        <w:t>epetition of the statement by a new party</w:t>
      </w:r>
      <w:r w:rsidR="0040010D">
        <w:rPr>
          <w:rFonts w:cs="Times New Roman"/>
          <w:bCs/>
          <w:szCs w:val="24"/>
        </w:rPr>
        <w:t>, however,</w:t>
      </w:r>
      <w:r w:rsidRPr="0063061C">
        <w:rPr>
          <w:rFonts w:cs="Times New Roman"/>
          <w:bCs/>
          <w:szCs w:val="24"/>
        </w:rPr>
        <w:t xml:space="preserve"> gives rise to a new cause of action against the original defamer if the repetition was reasonably foreseeable. (</w:t>
      </w:r>
      <w:r w:rsidR="00426749" w:rsidRPr="00426749">
        <w:rPr>
          <w:rFonts w:cs="Times New Roman"/>
          <w:bCs/>
          <w:i/>
          <w:iCs/>
          <w:szCs w:val="24"/>
        </w:rPr>
        <w:t>Id</w:t>
      </w:r>
      <w:r w:rsidR="00CE6D37">
        <w:rPr>
          <w:rFonts w:cs="Times New Roman"/>
          <w:bCs/>
          <w:i/>
          <w:iCs/>
          <w:szCs w:val="24"/>
        </w:rPr>
        <w:t>.</w:t>
      </w:r>
      <w:r>
        <w:rPr>
          <w:rFonts w:cs="Times New Roman"/>
          <w:bCs/>
          <w:szCs w:val="24"/>
        </w:rPr>
        <w:t xml:space="preserve"> </w:t>
      </w:r>
      <w:r w:rsidRPr="0063061C">
        <w:rPr>
          <w:rFonts w:cs="Times New Roman"/>
          <w:bCs/>
          <w:szCs w:val="24"/>
        </w:rPr>
        <w:t xml:space="preserve">at </w:t>
      </w:r>
      <w:r w:rsidRPr="0063061C">
        <w:rPr>
          <w:rFonts w:cs="Times New Roman"/>
          <w:bCs/>
          <w:szCs w:val="24"/>
        </w:rPr>
        <w:lastRenderedPageBreak/>
        <w:t xml:space="preserve">1243.) The single publication rule </w:t>
      </w:r>
      <w:r>
        <w:rPr>
          <w:rFonts w:cs="Times New Roman"/>
          <w:bCs/>
          <w:szCs w:val="24"/>
        </w:rPr>
        <w:t xml:space="preserve">also </w:t>
      </w:r>
      <w:r w:rsidRPr="0063061C">
        <w:rPr>
          <w:rFonts w:cs="Times New Roman"/>
          <w:bCs/>
          <w:szCs w:val="24"/>
        </w:rPr>
        <w:t xml:space="preserve">applies to statements </w:t>
      </w:r>
      <w:r>
        <w:rPr>
          <w:rFonts w:cs="Times New Roman"/>
          <w:bCs/>
          <w:szCs w:val="24"/>
        </w:rPr>
        <w:t xml:space="preserve">published </w:t>
      </w:r>
      <w:r w:rsidRPr="0063061C">
        <w:rPr>
          <w:rFonts w:cs="Times New Roman"/>
          <w:bCs/>
          <w:szCs w:val="24"/>
        </w:rPr>
        <w:t>on a website. (</w:t>
      </w:r>
      <w:r w:rsidRPr="0063061C">
        <w:rPr>
          <w:rFonts w:cs="Times New Roman"/>
          <w:bCs/>
          <w:i/>
          <w:iCs/>
          <w:szCs w:val="24"/>
        </w:rPr>
        <w:t>Traditional Cat Assn. v. Gilbreath</w:t>
      </w:r>
      <w:r w:rsidRPr="0063061C">
        <w:rPr>
          <w:rFonts w:cs="Times New Roman"/>
          <w:bCs/>
          <w:szCs w:val="24"/>
        </w:rPr>
        <w:t xml:space="preserve"> (2004) 118 Cal.App.</w:t>
      </w:r>
      <w:r>
        <w:rPr>
          <w:rFonts w:cs="Times New Roman"/>
          <w:bCs/>
          <w:szCs w:val="24"/>
        </w:rPr>
        <w:t xml:space="preserve">4th </w:t>
      </w:r>
      <w:r w:rsidRPr="0063061C">
        <w:rPr>
          <w:rFonts w:cs="Times New Roman"/>
          <w:bCs/>
          <w:szCs w:val="24"/>
        </w:rPr>
        <w:t>392</w:t>
      </w:r>
      <w:r>
        <w:rPr>
          <w:rFonts w:cs="Times New Roman"/>
          <w:bCs/>
          <w:szCs w:val="24"/>
        </w:rPr>
        <w:t>, 404</w:t>
      </w:r>
      <w:r w:rsidRPr="0063061C">
        <w:rPr>
          <w:rFonts w:cs="Times New Roman"/>
          <w:bCs/>
          <w:szCs w:val="24"/>
        </w:rPr>
        <w:t>.)</w:t>
      </w:r>
    </w:p>
    <w:p w14:paraId="45AEE7B5" w14:textId="77777777" w:rsidR="003F0E15" w:rsidRDefault="005902E5" w:rsidP="005902E5">
      <w:pPr>
        <w:spacing w:after="264"/>
        <w:rPr>
          <w:rFonts w:cs="Times New Roman"/>
          <w:bCs/>
          <w:szCs w:val="24"/>
        </w:rPr>
      </w:pPr>
      <w:r>
        <w:rPr>
          <w:rFonts w:cs="Times New Roman"/>
          <w:bCs/>
          <w:szCs w:val="24"/>
          <w:u w:val="single"/>
        </w:rPr>
        <w:t>Remedies</w:t>
      </w:r>
      <w:r>
        <w:rPr>
          <w:rFonts w:cs="Times New Roman"/>
          <w:bCs/>
          <w:szCs w:val="24"/>
        </w:rPr>
        <w:t>—</w:t>
      </w:r>
    </w:p>
    <w:p w14:paraId="15B74154" w14:textId="77777777" w:rsidR="003F0E15" w:rsidRDefault="005902E5" w:rsidP="005902E5">
      <w:pPr>
        <w:spacing w:after="264"/>
        <w:ind w:left="1080" w:hanging="360"/>
        <w:rPr>
          <w:rFonts w:cs="Times New Roman"/>
          <w:bCs/>
          <w:szCs w:val="24"/>
        </w:rPr>
      </w:pPr>
      <w:r w:rsidRPr="00311139">
        <w:rPr>
          <w:rFonts w:cs="Times New Roman"/>
          <w:bCs/>
          <w:szCs w:val="24"/>
        </w:rPr>
        <w:t xml:space="preserve">—  </w:t>
      </w:r>
      <w:r w:rsidR="00974171">
        <w:rPr>
          <w:rFonts w:cs="Times New Roman"/>
          <w:bCs/>
          <w:szCs w:val="24"/>
        </w:rPr>
        <w:t xml:space="preserve">Just as there are different </w:t>
      </w:r>
      <w:r w:rsidR="00640846">
        <w:rPr>
          <w:rFonts w:cs="Times New Roman"/>
          <w:bCs/>
          <w:szCs w:val="24"/>
        </w:rPr>
        <w:t xml:space="preserve">elements to prove </w:t>
      </w:r>
      <w:r w:rsidR="00974171">
        <w:rPr>
          <w:rFonts w:cs="Times New Roman"/>
          <w:bCs/>
          <w:szCs w:val="24"/>
        </w:rPr>
        <w:t xml:space="preserve">depending upon whether the defamation was </w:t>
      </w:r>
      <w:r w:rsidR="00974171" w:rsidRPr="00974171">
        <w:rPr>
          <w:rFonts w:cs="Times New Roman"/>
          <w:bCs/>
          <w:i/>
          <w:iCs/>
          <w:szCs w:val="24"/>
        </w:rPr>
        <w:t xml:space="preserve">per </w:t>
      </w:r>
      <w:proofErr w:type="spellStart"/>
      <w:r w:rsidR="00974171" w:rsidRPr="00974171">
        <w:rPr>
          <w:rFonts w:cs="Times New Roman"/>
          <w:bCs/>
          <w:i/>
          <w:iCs/>
          <w:szCs w:val="24"/>
        </w:rPr>
        <w:t>quod</w:t>
      </w:r>
      <w:proofErr w:type="spellEnd"/>
      <w:r w:rsidR="00974171">
        <w:rPr>
          <w:rFonts w:cs="Times New Roman"/>
          <w:bCs/>
          <w:szCs w:val="24"/>
        </w:rPr>
        <w:t xml:space="preserve"> or </w:t>
      </w:r>
      <w:r w:rsidR="00974171" w:rsidRPr="00974171">
        <w:rPr>
          <w:rFonts w:cs="Times New Roman"/>
          <w:bCs/>
          <w:i/>
          <w:iCs/>
          <w:szCs w:val="24"/>
        </w:rPr>
        <w:t>per se</w:t>
      </w:r>
      <w:r w:rsidR="00974171">
        <w:rPr>
          <w:rFonts w:cs="Times New Roman"/>
          <w:bCs/>
          <w:szCs w:val="24"/>
        </w:rPr>
        <w:t>, the same holds true regarding the available remedies.</w:t>
      </w:r>
    </w:p>
    <w:p w14:paraId="0ADDF289"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9D5F25">
        <w:rPr>
          <w:rFonts w:cs="Times New Roman"/>
          <w:color w:val="000000" w:themeColor="text1"/>
          <w:szCs w:val="24"/>
        </w:rPr>
        <w:t xml:space="preserve">For defamation (libel and slander) </w:t>
      </w:r>
      <w:r w:rsidR="00640846" w:rsidRPr="009D5F25">
        <w:rPr>
          <w:rFonts w:cs="Times New Roman"/>
          <w:i/>
          <w:iCs/>
          <w:color w:val="000000" w:themeColor="text1"/>
          <w:szCs w:val="24"/>
        </w:rPr>
        <w:t xml:space="preserve">per </w:t>
      </w:r>
      <w:proofErr w:type="spellStart"/>
      <w:r w:rsidR="00640846" w:rsidRPr="009D5F25">
        <w:rPr>
          <w:rFonts w:cs="Times New Roman"/>
          <w:i/>
          <w:iCs/>
          <w:color w:val="000000" w:themeColor="text1"/>
          <w:szCs w:val="24"/>
        </w:rPr>
        <w:t>quod</w:t>
      </w:r>
      <w:proofErr w:type="spellEnd"/>
      <w:r w:rsidR="00640846" w:rsidRPr="009D5F25">
        <w:rPr>
          <w:rFonts w:cs="Times New Roman"/>
          <w:color w:val="000000" w:themeColor="text1"/>
          <w:szCs w:val="24"/>
        </w:rPr>
        <w:t>, a plaintiff can recover “special damages” resulting from the defamation. (Civ. Code §§45(a), 46(5).) “Special damages” are defined by statute as damages that a plaintiff can prove in connection with property, business, trade, profession, or occupation. (Civ. Code, § 48a(d)(2).)</w:t>
      </w:r>
    </w:p>
    <w:p w14:paraId="57A0EA81"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640846">
        <w:rPr>
          <w:rFonts w:cs="Times New Roman"/>
          <w:bCs/>
          <w:szCs w:val="24"/>
        </w:rPr>
        <w:t xml:space="preserve">For defamation (libel and slander) </w:t>
      </w:r>
      <w:r w:rsidR="00640846" w:rsidRPr="00640846">
        <w:rPr>
          <w:rFonts w:cs="Times New Roman"/>
          <w:bCs/>
          <w:i/>
          <w:iCs/>
          <w:szCs w:val="24"/>
        </w:rPr>
        <w:t>per se</w:t>
      </w:r>
      <w:r w:rsidR="00640846" w:rsidRPr="00640846">
        <w:rPr>
          <w:rFonts w:cs="Times New Roman"/>
          <w:bCs/>
          <w:szCs w:val="24"/>
        </w:rPr>
        <w:t xml:space="preserve">, plaintiffs can recover presumed damages (for loss of reputation, shame, mortification, and hurt feelings) </w:t>
      </w:r>
      <w:r w:rsidR="00640846" w:rsidRPr="00640846">
        <w:rPr>
          <w:rFonts w:cs="Times New Roman"/>
          <w:bCs/>
          <w:i/>
          <w:iCs/>
          <w:szCs w:val="24"/>
        </w:rPr>
        <w:t>without proof of actual harm</w:t>
      </w:r>
      <w:r w:rsidR="00640846" w:rsidRPr="00640846">
        <w:rPr>
          <w:rFonts w:cs="Times New Roman"/>
          <w:bCs/>
          <w:szCs w:val="24"/>
        </w:rPr>
        <w:t>. (Civ. Code, § 48a(d)(1).) Plaintiffs may additionally recover actual proven damages. (</w:t>
      </w:r>
      <w:r w:rsidR="00640846" w:rsidRPr="00640846">
        <w:rPr>
          <w:rFonts w:cs="Times New Roman"/>
          <w:bCs/>
          <w:i/>
          <w:iCs/>
          <w:szCs w:val="24"/>
        </w:rPr>
        <w:t>Weller v. American Broadcasting Companies Inc.</w:t>
      </w:r>
      <w:r w:rsidR="00640846" w:rsidRPr="00640846">
        <w:rPr>
          <w:rFonts w:cs="Times New Roman"/>
          <w:bCs/>
          <w:szCs w:val="24"/>
        </w:rPr>
        <w:t xml:space="preserve"> (1991) 232 Cal.App.3d 1991.) </w:t>
      </w:r>
    </w:p>
    <w:p w14:paraId="6F781C06" w14:textId="77777777" w:rsidR="003F0E15" w:rsidRDefault="00E01ECD" w:rsidP="00E01ECD">
      <w:pPr>
        <w:spacing w:after="264"/>
        <w:ind w:left="1080" w:hanging="360"/>
        <w:rPr>
          <w:rFonts w:cs="Times New Roman"/>
          <w:bCs/>
          <w:szCs w:val="24"/>
        </w:rPr>
      </w:pPr>
      <w:r>
        <w:rPr>
          <w:rFonts w:cs="Times New Roman"/>
          <w:bCs/>
          <w:szCs w:val="24"/>
        </w:rPr>
        <w:t xml:space="preserve">—  </w:t>
      </w:r>
      <w:r w:rsidR="00640846" w:rsidRPr="00640846">
        <w:rPr>
          <w:rFonts w:cs="Times New Roman"/>
          <w:bCs/>
          <w:szCs w:val="24"/>
        </w:rPr>
        <w:t>Note that public officials and public figures must prove actual malice to recover any damages. (</w:t>
      </w:r>
      <w:r w:rsidR="00640846" w:rsidRPr="00640846">
        <w:rPr>
          <w:rFonts w:cs="Times New Roman"/>
          <w:bCs/>
          <w:i/>
          <w:iCs/>
          <w:szCs w:val="24"/>
        </w:rPr>
        <w:t>Issa v. Applegate</w:t>
      </w:r>
      <w:r w:rsidR="00640846" w:rsidRPr="00640846">
        <w:rPr>
          <w:rFonts w:cs="Times New Roman"/>
          <w:bCs/>
          <w:szCs w:val="24"/>
        </w:rPr>
        <w:t xml:space="preserve"> (2019) 31 Cal.App.5th 689, 703.)</w:t>
      </w:r>
    </w:p>
    <w:p w14:paraId="10B6FFDC"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 xml:space="preserve">Punitive damages are available when oppression, fraud, or malice is proven by clear and convincing evidence. (Civ. Code, § 3294.) Punitive damages </w:t>
      </w:r>
      <w:r>
        <w:rPr>
          <w:rFonts w:cs="Times New Roman"/>
          <w:bCs/>
          <w:szCs w:val="24"/>
        </w:rPr>
        <w:t xml:space="preserve">may also </w:t>
      </w:r>
      <w:r w:rsidRPr="00E01ECD">
        <w:rPr>
          <w:rFonts w:cs="Times New Roman"/>
          <w:bCs/>
          <w:szCs w:val="24"/>
        </w:rPr>
        <w:t>be awarded in combination with presumed damages or special damages. (</w:t>
      </w:r>
      <w:r w:rsidRPr="00E01ECD">
        <w:rPr>
          <w:rFonts w:cs="Times New Roman"/>
          <w:bCs/>
          <w:i/>
          <w:iCs/>
          <w:szCs w:val="24"/>
        </w:rPr>
        <w:t>Barnes-Hind Inc. v. Superior Court</w:t>
      </w:r>
      <w:r w:rsidR="009C2E6A">
        <w:rPr>
          <w:rFonts w:cs="Times New Roman"/>
          <w:bCs/>
          <w:i/>
          <w:iCs/>
          <w:szCs w:val="24"/>
        </w:rPr>
        <w:t>, supra,</w:t>
      </w:r>
      <w:r w:rsidR="009C2E6A">
        <w:rPr>
          <w:rFonts w:cs="Times New Roman"/>
          <w:bCs/>
          <w:szCs w:val="24"/>
        </w:rPr>
        <w:t xml:space="preserve"> </w:t>
      </w:r>
      <w:r w:rsidRPr="00E01ECD">
        <w:rPr>
          <w:rFonts w:cs="Times New Roman"/>
          <w:bCs/>
          <w:szCs w:val="24"/>
        </w:rPr>
        <w:t xml:space="preserve">181 Cal.App.3d </w:t>
      </w:r>
      <w:r w:rsidR="009C2E6A">
        <w:rPr>
          <w:rFonts w:cs="Times New Roman"/>
          <w:bCs/>
          <w:szCs w:val="24"/>
        </w:rPr>
        <w:t>at 382</w:t>
      </w:r>
      <w:r w:rsidRPr="00E01ECD">
        <w:rPr>
          <w:rFonts w:cs="Times New Roman"/>
          <w:bCs/>
          <w:szCs w:val="24"/>
        </w:rPr>
        <w:t>; Civ. Code, § 3294.)</w:t>
      </w:r>
    </w:p>
    <w:p w14:paraId="3BCA3EF4"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Injunctive relief is available only to prevent repetition of statements already determined to be defamatory. (</w:t>
      </w:r>
      <w:r w:rsidRPr="00E01ECD">
        <w:rPr>
          <w:rFonts w:cs="Times New Roman"/>
          <w:bCs/>
          <w:i/>
          <w:iCs/>
          <w:szCs w:val="24"/>
        </w:rPr>
        <w:t>Balboa Island Village Inn Inc. v. Lemen</w:t>
      </w:r>
      <w:r w:rsidRPr="00E01ECD">
        <w:rPr>
          <w:rFonts w:cs="Times New Roman"/>
          <w:bCs/>
          <w:szCs w:val="24"/>
        </w:rPr>
        <w:t xml:space="preserve"> (2007) 40 Cal.4th 1141.) Injunctive relief to prohibit future statements would likely be unavailable as a prior restraint on speech. (</w:t>
      </w:r>
      <w:r w:rsidR="00426749" w:rsidRPr="00426749">
        <w:rPr>
          <w:rFonts w:cs="Times New Roman"/>
          <w:bCs/>
          <w:i/>
          <w:iCs/>
          <w:szCs w:val="24"/>
        </w:rPr>
        <w:t>Id</w:t>
      </w:r>
      <w:r w:rsidR="00CE6D37">
        <w:rPr>
          <w:rFonts w:cs="Times New Roman"/>
          <w:bCs/>
          <w:i/>
          <w:iCs/>
          <w:szCs w:val="24"/>
        </w:rPr>
        <w:t>.</w:t>
      </w:r>
      <w:r w:rsidRPr="00E01ECD">
        <w:rPr>
          <w:rFonts w:cs="Times New Roman"/>
          <w:bCs/>
          <w:szCs w:val="24"/>
        </w:rPr>
        <w:t xml:space="preserve"> at 1162.)</w:t>
      </w:r>
    </w:p>
    <w:p w14:paraId="543FFD4A"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5F4B1BA" w14:textId="77777777" w:rsidR="003F0E15" w:rsidRDefault="005902E5" w:rsidP="005902E5">
      <w:pPr>
        <w:spacing w:after="264"/>
        <w:ind w:left="1080" w:hanging="360"/>
        <w:rPr>
          <w:rFonts w:cs="Times New Roman"/>
          <w:bCs/>
          <w:szCs w:val="24"/>
        </w:rPr>
      </w:pPr>
      <w:r>
        <w:rPr>
          <w:rFonts w:cs="Times New Roman"/>
          <w:bCs/>
          <w:szCs w:val="24"/>
        </w:rPr>
        <w:t xml:space="preserve">—  </w:t>
      </w:r>
      <w:r w:rsidR="00034C29" w:rsidRPr="00034C29">
        <w:rPr>
          <w:rFonts w:cs="Times New Roman"/>
          <w:bCs/>
          <w:szCs w:val="24"/>
        </w:rPr>
        <w:t>The statute of limitations for defamation is one year. (Civ. Code, § 340(c).) The accrual date of the claim is the date the statement was published or distributed to the public. (</w:t>
      </w:r>
      <w:r w:rsidR="00034C29" w:rsidRPr="00034C29">
        <w:rPr>
          <w:rFonts w:cs="Times New Roman"/>
          <w:bCs/>
          <w:i/>
          <w:iCs/>
          <w:szCs w:val="24"/>
        </w:rPr>
        <w:t>Shively v. Bozanich</w:t>
      </w:r>
      <w:r w:rsidR="0063061C">
        <w:rPr>
          <w:rFonts w:cs="Times New Roman"/>
          <w:bCs/>
          <w:i/>
          <w:iCs/>
          <w:szCs w:val="24"/>
        </w:rPr>
        <w:t>, supra,</w:t>
      </w:r>
      <w:r w:rsidR="0063061C">
        <w:rPr>
          <w:rFonts w:cs="Times New Roman"/>
          <w:bCs/>
          <w:szCs w:val="24"/>
        </w:rPr>
        <w:t xml:space="preserve"> </w:t>
      </w:r>
      <w:r w:rsidR="00034C29" w:rsidRPr="00034C29">
        <w:rPr>
          <w:rFonts w:cs="Times New Roman"/>
          <w:bCs/>
          <w:szCs w:val="24"/>
        </w:rPr>
        <w:t xml:space="preserve">31 Cal.4th </w:t>
      </w:r>
      <w:r w:rsidR="0063061C">
        <w:rPr>
          <w:rFonts w:cs="Times New Roman"/>
          <w:bCs/>
          <w:szCs w:val="24"/>
        </w:rPr>
        <w:t>at</w:t>
      </w:r>
      <w:r w:rsidR="00034C29" w:rsidRPr="00034C29">
        <w:rPr>
          <w:rFonts w:cs="Times New Roman"/>
          <w:bCs/>
          <w:szCs w:val="24"/>
        </w:rPr>
        <w:t xml:space="preserve"> 1247.)</w:t>
      </w:r>
      <w:r w:rsidR="00034C29">
        <w:rPr>
          <w:rFonts w:cs="Times New Roman"/>
          <w:bCs/>
          <w:szCs w:val="24"/>
        </w:rPr>
        <w:t xml:space="preserve"> [</w:t>
      </w:r>
      <w:r w:rsidR="00034C29" w:rsidRPr="00034C29">
        <w:rPr>
          <w:rFonts w:cs="Times New Roman"/>
          <w:bCs/>
          <w:i/>
          <w:iCs/>
          <w:szCs w:val="24"/>
        </w:rPr>
        <w:t>Note: keep in mind that the “delayed discovery rule,” however, does not typically apply to defamation claims involving books, magazines, or newspapers.</w:t>
      </w:r>
      <w:r w:rsidR="00034C29">
        <w:rPr>
          <w:rFonts w:cs="Times New Roman"/>
          <w:bCs/>
          <w:szCs w:val="24"/>
        </w:rPr>
        <w:t>] (</w:t>
      </w:r>
      <w:r w:rsidR="00426749" w:rsidRPr="00426749">
        <w:rPr>
          <w:rFonts w:cs="Times New Roman"/>
          <w:bCs/>
          <w:i/>
          <w:iCs/>
          <w:szCs w:val="24"/>
        </w:rPr>
        <w:t>Id</w:t>
      </w:r>
      <w:r w:rsidR="00CE6D37">
        <w:rPr>
          <w:rFonts w:cs="Times New Roman"/>
          <w:bCs/>
          <w:i/>
          <w:iCs/>
          <w:szCs w:val="24"/>
        </w:rPr>
        <w:t>.</w:t>
      </w:r>
      <w:r w:rsidR="00034C29">
        <w:rPr>
          <w:rFonts w:cs="Times New Roman"/>
          <w:bCs/>
          <w:szCs w:val="24"/>
        </w:rPr>
        <w:t xml:space="preserve"> at 1246-1249.)</w:t>
      </w:r>
    </w:p>
    <w:p w14:paraId="0615C83C"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FBB5030" w14:textId="77777777" w:rsidR="003F0E15" w:rsidRDefault="005902E5" w:rsidP="005902E5">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defamation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BF2E931"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2594279"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6F938A3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61A5496"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0E758B6B"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lastRenderedPageBreak/>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BEC08B6"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5384F495"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lastRenderedPageBreak/>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Section 16.9</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Starr v. Toluca Village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