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2CEE9BE" w14:textId="77777777" w:rsidR="00AD0894" w:rsidRPr="00E31A1C" w:rsidRDefault="00D41496" w:rsidP="005C2B5C">
      <w:pPr>
        <w:spacing w:after="264"/>
        <w:jc w:val="center"/>
        <w:rPr>
          <w:rFonts w:cs="Times New Roman"/>
          <w:b/>
          <w:bCs/>
          <w:sz w:val="44"/>
          <w:szCs w:val="44"/>
        </w:rPr>
      </w:pPr>
      <w:r>
        <w:rPr>
          <w:rFonts w:cs="Times New Roman"/>
          <w:b/>
          <w:bCs/>
          <w:sz w:val="44"/>
          <w:szCs w:val="44"/>
        </w:rPr>
        <w:t>Carl v. Balboa Place HOA / Elyse</w:t>
      </w:r>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D41496" w:rsidP="00E31A1C">
      <w:pPr>
        <w:spacing w:afterLines="0" w:after="0"/>
        <w:jc w:val="center"/>
        <w:rPr>
          <w:rFonts w:cs="Times New Roman"/>
          <w:sz w:val="28"/>
          <w:szCs w:val="28"/>
        </w:rPr>
      </w:pPr>
      <w:r>
        <w:rPr>
          <w:rFonts w:cs="Times New Roman"/>
          <w:sz w:val="28"/>
          <w:szCs w:val="28"/>
        </w:rPr>
        <w:t>SE</w:t>
      </w:r>
    </w:p>
    <w:p w14:paraId="1B4DFB73" w14:textId="7D1FF3CE"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C66264">
        <w:rPr>
          <w:rFonts w:cs="Times New Roman"/>
          <w:noProof/>
          <w:szCs w:val="24"/>
        </w:rPr>
        <w:t>December 5, 2024</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282C4BFF" w14:textId="53E4A5BB" w:rsidR="00EA5441" w:rsidRPr="0029680F" w:rsidRDefault="00D41496" w:rsidP="00ED2D7D">
      <w:pPr>
        <w:spacing w:after="264"/>
        <w:rPr>
          <w:rFonts w:cs="Times New Roman"/>
          <w:szCs w:val="24"/>
        </w:rPr>
      </w:pPr>
      <w:r>
        <w:rPr>
          <w:rFonts w:cs="Times New Roman"/>
          <w:szCs w:val="24"/>
        </w:rPr>
        <w:t>This is a water-intrusion dispute arising at Balboa Place, a condominium project located in the City of Los Angeles, County of Los Angeles. The parties are: Kristin Carl, the owner of Unit 201, who also operates a home-based telehealth psychotherapy practice from the unit; Balboa Place Homeowners Association, Inc. (the "HOA"), acting through its property management company ("Management"); and Britney Elyse, the owner of Unit 301 located directly above Ms. Carl’s. Beginning on or about February 5, 2024, water began intruding into Ms. Carl’s living room and office walls during rainstorms, traced to debris-clogged drains and standing water on Ms. Elyse’s balcony above. Despite the HOA’s early acknowledgment of the source condition and a 2024-2025 balcony replacement at Unit 301, the leak recurred in November 2025 and repeatedly through mid-2026. A March 2026 inspection revealed the true cause to be a structural defect in Unit 301’s sliding glass door, and by that point the leak had caused significant wood rot and wet insulation requiring Ms. Carl’s ceiling to remain open for over four months, with insulation actively falling into her home office by June 2026. Despite Ms. Carl’s repeated requests, the HOA has failed to complete repairs, hold a scheduled enforcement hearing, or resolve an ongoing dispute between the HOA and Unit 301 over financial responsibility for the repair.</w:t>
      </w:r>
      <w:r w:rsidR="003C492A" w:rsidRPr="0029680F">
        <w:rPr>
          <w:rFonts w:cs="Times New Roman"/>
          <w:szCs w:val="24"/>
        </w:rPr>
        <w:t xml:space="preserve"> </w:t>
      </w:r>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tbl>
      <w:tblPr>
        <w:tblStyle w:val="TableGrid"/>
        <w:tblW w:w="0" w:type="auto"/>
        <w:tblLook w:val="04A0" w:firstRow="1" w:lastRow="0" w:firstColumn="1" w:lastColumn="0" w:noHBand="0" w:noVBand="1"/>
      </w:tblPr>
      <w:tblGrid>
        <w:gridCol w:w="5215"/>
        <w:gridCol w:w="5490"/>
      </w:tblGrid>
      <w:tr w:rsidR="00E14AB1" w:rsidRPr="007C6F41" w14:paraId="1FEB560F" w14:textId="77777777" w:rsidTr="00F53050">
        <w:trPr>
          <w:trHeight w:val="773"/>
        </w:trPr>
        <w:tc>
          <w:tcPr>
            <w:tcW w:w="5215" w:type="dxa"/>
            <w:shd w:val="clear" w:color="auto" w:fill="BDD6EE" w:themeFill="accent1" w:themeFillTint="66"/>
            <w:vAlign w:val="center"/>
          </w:tcPr>
          <w:p w14:paraId="2A3E2548"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6C94B4DC" w14:textId="07DC275B"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633FE056" w14:textId="77777777" w:rsidTr="00964F25">
        <w:tc>
          <w:tcPr>
            <w:tcW w:w="5215" w:type="dxa"/>
            <w:vAlign w:val="center"/>
          </w:tcPr>
          <w:p w14:paraId="2041C099" w14:textId="338363E0" w:rsidR="004D6471" w:rsidRPr="007F69BE" w:rsidRDefault="00D41496" w:rsidP="00EF2457">
            <w:pPr>
              <w:spacing w:afterLines="0" w:after="0"/>
              <w:rPr>
                <w:rFonts w:cs="Times New Roman"/>
                <w:sz w:val="20"/>
                <w:szCs w:val="20"/>
              </w:rPr>
            </w:pPr>
            <w:r>
              <w:rPr>
                <w:rFonts w:cs="Times New Roman"/>
                <w:sz w:val="20"/>
                <w:szCs w:val="20"/>
              </w:rPr>
              <w:t>Kristin Carl</w:t>
            </w:r>
            <w:r w:rsidR="006C37BD">
              <w:rPr>
                <w:rFonts w:cs="Times New Roman"/>
                <w:sz w:val="20"/>
                <w:szCs w:val="20"/>
              </w:rPr>
              <w:t xml:space="preserve"> (“Client”)</w:t>
            </w:r>
          </w:p>
        </w:tc>
        <w:tc>
          <w:tcPr>
            <w:tcW w:w="5490" w:type="dxa"/>
            <w:vAlign w:val="center"/>
          </w:tcPr>
          <w:p w14:paraId="2EEC5A15" w14:textId="77777777" w:rsidR="00EC6A14" w:rsidRPr="007F69BE" w:rsidRDefault="00EC6A14" w:rsidP="00EF2457">
            <w:pPr>
              <w:spacing w:afterLines="0" w:after="0"/>
              <w:rPr>
                <w:rFonts w:cs="Times New Roman"/>
                <w:sz w:val="20"/>
                <w:szCs w:val="20"/>
              </w:rPr>
            </w:pPr>
          </w:p>
          <w:p w14:paraId="383E8CA4" w14:textId="6A89436B" w:rsidR="00E14AB1" w:rsidRPr="007F69BE" w:rsidRDefault="00E14AB1" w:rsidP="00EF2457">
            <w:pPr>
              <w:spacing w:afterLines="0" w:after="0"/>
              <w:rPr>
                <w:rFonts w:cs="Times New Roman"/>
                <w:sz w:val="20"/>
                <w:szCs w:val="20"/>
              </w:rPr>
            </w:pPr>
            <w:r w:rsidRPr="007F69BE">
              <w:rPr>
                <w:rFonts w:cs="Times New Roman"/>
                <w:sz w:val="20"/>
                <w:szCs w:val="20"/>
              </w:rPr>
              <w:t>Client / HOA Member</w:t>
            </w:r>
          </w:p>
          <w:p w14:paraId="15867B96" w14:textId="43EB62EA" w:rsidR="004D6471" w:rsidRPr="007F69BE" w:rsidRDefault="004D6471" w:rsidP="00EF2457">
            <w:pPr>
              <w:spacing w:afterLines="0" w:after="0"/>
              <w:rPr>
                <w:rFonts w:cs="Times New Roman"/>
                <w:sz w:val="20"/>
                <w:szCs w:val="20"/>
              </w:rPr>
            </w:pPr>
          </w:p>
        </w:tc>
      </w:tr>
      <w:tr w:rsidR="000375D2" w:rsidRPr="007C6F41" w14:paraId="4705B893" w14:textId="77777777" w:rsidTr="009E43CE">
        <w:trPr>
          <w:cantSplit/>
        </w:trPr>
        <w:tc>
          <w:tcPr>
            <w:tcW w:w="5215" w:type="dxa"/>
            <w:vAlign w:val="center"/>
          </w:tcPr>
          <w:p w14:paraId="424FE35A" w14:textId="19BD7BB6" w:rsidR="000375D2" w:rsidRPr="007F69BE" w:rsidRDefault="00D41496" w:rsidP="00EF2457">
            <w:pPr>
              <w:spacing w:afterLines="0" w:after="0"/>
              <w:rPr>
                <w:rFonts w:cs="Times New Roman"/>
                <w:sz w:val="20"/>
                <w:szCs w:val="20"/>
              </w:rPr>
            </w:pPr>
            <w:r>
              <w:rPr>
                <w:rFonts w:cs="Times New Roman"/>
                <w:sz w:val="20"/>
                <w:szCs w:val="20"/>
              </w:rPr>
              <w:t>Britney Elyse ("Elyse")</w:t>
            </w:r>
          </w:p>
        </w:tc>
        <w:tc>
          <w:tcPr>
            <w:tcW w:w="5490" w:type="dxa"/>
            <w:vAlign w:val="center"/>
          </w:tcPr>
          <w:p w14:paraId="4785EB8A" w14:textId="492C19F6" w:rsidR="00EC6A14" w:rsidRPr="007F69BE" w:rsidRDefault="00EC6A14" w:rsidP="00EF2457">
            <w:pPr>
              <w:spacing w:afterLines="0" w:after="0"/>
              <w:rPr>
                <w:rFonts w:cs="Times New Roman"/>
                <w:sz w:val="20"/>
                <w:szCs w:val="20"/>
              </w:rPr>
            </w:pPr>
          </w:p>
          <w:p w14:paraId="001B55CF" w14:textId="2A35E70D" w:rsidR="000375D2" w:rsidRPr="007F69BE" w:rsidRDefault="00D41496" w:rsidP="00EF2457">
            <w:pPr>
              <w:spacing w:afterLines="0" w:after="0"/>
              <w:rPr>
                <w:rFonts w:cs="Times New Roman"/>
                <w:sz w:val="20"/>
                <w:szCs w:val="20"/>
              </w:rPr>
            </w:pPr>
            <w:r>
              <w:rPr>
                <w:rFonts w:cs="Times New Roman"/>
                <w:sz w:val="20"/>
                <w:szCs w:val="20"/>
              </w:rPr>
              <w:t>Upstairs Neighbor</w:t>
            </w:r>
            <w:r w:rsidR="00BE557F" w:rsidRPr="007F69BE">
              <w:rPr>
                <w:rFonts w:cs="Times New Roman"/>
                <w:sz w:val="20"/>
                <w:szCs w:val="20"/>
              </w:rPr>
              <w:t xml:space="preserve"> </w:t>
            </w:r>
          </w:p>
          <w:p w14:paraId="0DD1DC86" w14:textId="1DFCA38F" w:rsidR="004D6471" w:rsidRPr="007F69BE" w:rsidRDefault="004D6471" w:rsidP="00EF2457">
            <w:pPr>
              <w:spacing w:afterLines="0" w:after="0"/>
              <w:rPr>
                <w:rFonts w:cs="Times New Roman"/>
                <w:sz w:val="20"/>
                <w:szCs w:val="20"/>
              </w:rPr>
            </w:pPr>
          </w:p>
        </w:tc>
      </w:tr>
      <w:tr w:rsidR="00E4074A" w:rsidRPr="0076627F" w14:paraId="14903296" w14:textId="77777777" w:rsidTr="00964F25">
        <w:tc>
          <w:tcPr>
            <w:tcW w:w="5215" w:type="dxa"/>
            <w:vAlign w:val="center"/>
          </w:tcPr>
          <w:p w14:paraId="7855CD6D" w14:textId="49C5B7C4" w:rsidR="00E4074A" w:rsidRPr="007F69BE" w:rsidRDefault="00D41496" w:rsidP="00EF2457">
            <w:pPr>
              <w:spacing w:afterLines="0" w:after="0"/>
              <w:rPr>
                <w:rFonts w:cs="Times New Roman"/>
                <w:sz w:val="20"/>
                <w:szCs w:val="20"/>
              </w:rPr>
            </w:pPr>
            <w:r>
              <w:rPr>
                <w:rFonts w:cs="Times New Roman"/>
                <w:sz w:val="20"/>
                <w:szCs w:val="20"/>
              </w:rPr>
              <w:t>Balboa Place Homeowners Association, Inc. ("HOA")</w:t>
            </w:r>
          </w:p>
        </w:tc>
        <w:tc>
          <w:tcPr>
            <w:tcW w:w="5490" w:type="dxa"/>
            <w:vAlign w:val="center"/>
          </w:tcPr>
          <w:p w14:paraId="7BA2B8BF" w14:textId="77777777" w:rsidR="00EC6A14" w:rsidRPr="007F69BE" w:rsidRDefault="00EC6A14" w:rsidP="00EF2457">
            <w:pPr>
              <w:spacing w:afterLines="0" w:after="0"/>
              <w:rPr>
                <w:rFonts w:cs="Times New Roman"/>
                <w:sz w:val="20"/>
                <w:szCs w:val="20"/>
              </w:rPr>
            </w:pPr>
          </w:p>
          <w:p w14:paraId="4E8114E2" w14:textId="6771C5F8" w:rsidR="00E4074A" w:rsidRPr="007F69BE" w:rsidRDefault="00D41496" w:rsidP="00EF2457">
            <w:pPr>
              <w:spacing w:afterLines="0" w:after="0"/>
              <w:rPr>
                <w:rFonts w:cs="Times New Roman"/>
                <w:sz w:val="20"/>
                <w:szCs w:val="20"/>
              </w:rPr>
            </w:pPr>
            <w:r>
              <w:rPr>
                <w:rFonts w:cs="Times New Roman"/>
                <w:sz w:val="20"/>
                <w:szCs w:val="20"/>
              </w:rPr>
              <w:t>HOA</w:t>
            </w:r>
            <w:r w:rsidR="00BE557F" w:rsidRPr="007F69BE">
              <w:rPr>
                <w:rFonts w:cs="Times New Roman"/>
                <w:sz w:val="20"/>
                <w:szCs w:val="20"/>
              </w:rPr>
              <w:t xml:space="preserve"> </w:t>
            </w:r>
          </w:p>
          <w:p w14:paraId="0EB6C42A" w14:textId="52A63D0E" w:rsidR="004D6471" w:rsidRPr="007F69BE" w:rsidRDefault="004D6471" w:rsidP="00EF2457">
            <w:pPr>
              <w:spacing w:afterLines="0" w:after="0"/>
              <w:rPr>
                <w:rFonts w:cs="Times New Roman"/>
                <w:sz w:val="20"/>
                <w:szCs w:val="20"/>
              </w:rPr>
            </w:pPr>
          </w:p>
        </w:tc>
      </w:tr>
    </w:tbl>
    <w:p w14:paraId="29E60F75" w14:textId="7CFBE10C" w:rsidR="00F53050" w:rsidRDefault="00F53050" w:rsidP="00E14AB1">
      <w:pPr>
        <w:spacing w:after="264"/>
        <w:rPr>
          <w:rFonts w:cs="Times New Roman"/>
          <w:bCs/>
          <w:szCs w:val="24"/>
        </w:rPr>
      </w:pPr>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7E42E17C" w14:textId="21CC5C99" w:rsidR="0075304D" w:rsidRDefault="009032FC" w:rsidP="0075304D">
      <w:pPr>
        <w:spacing w:after="264"/>
        <w:rPr>
          <w:rFonts w:cs="Times New Roman"/>
          <w:szCs w:val="24"/>
        </w:rPr>
      </w:pPr>
      <w:bookmarkStart w:id="4" w:name="_Hlk43363524"/>
      <w:r>
        <w:rPr>
          <w:rFonts w:cs="Times New Roman"/>
          <w:szCs w:val="24"/>
        </w:rPr>
        <w:t>The Firm should follow up with Client regarding the following items/issues:</w:t>
      </w:r>
    </w:p>
    <w:p w14:paraId="04A6D186" w14:textId="1CDDF846" w:rsidR="0075304D" w:rsidRDefault="0075304D" w:rsidP="0075304D">
      <w:pPr>
        <w:spacing w:after="264"/>
        <w:ind w:left="1080" w:hanging="360"/>
        <w:rPr>
          <w:rFonts w:cs="Times New Roman"/>
          <w:szCs w:val="24"/>
        </w:rPr>
      </w:pPr>
      <w:r>
        <w:rPr>
          <w:rFonts w:cs="Times New Roman"/>
          <w:szCs w:val="24"/>
        </w:rPr>
        <w:t xml:space="preserve">—  </w:t>
      </w:r>
      <w:r>
        <w:rPr>
          <w:rFonts w:cs="Times New Roman"/>
          <w:szCs w:val="24"/>
        </w:rPr>
        <w:t>Current Bylaws</w:t>
      </w:r>
      <w:r w:rsidR="0009017B">
        <w:rPr>
          <w:rFonts w:cs="Times New Roman"/>
          <w:szCs w:val="24"/>
        </w:rPr>
        <w:t xml:space="preserve"> </w:t>
      </w:r>
    </w:p>
    <w:p w14:paraId="64EC733A" w14:textId="602166C8" w:rsidR="001C1490" w:rsidRDefault="0075304D" w:rsidP="0075304D">
      <w:pPr>
        <w:spacing w:after="264"/>
        <w:ind w:left="1080" w:hanging="360"/>
        <w:rPr>
          <w:rFonts w:cs="Times New Roman"/>
          <w:szCs w:val="24"/>
        </w:rPr>
      </w:pPr>
      <w:r>
        <w:rPr>
          <w:rFonts w:cs="Times New Roman"/>
          <w:szCs w:val="24"/>
        </w:rPr>
        <w:t xml:space="preserve">—  </w:t>
      </w:r>
      <w:r>
        <w:rPr>
          <w:rFonts w:cs="Times New Roman"/>
          <w:szCs w:val="24"/>
        </w:rPr>
        <w:t>Any amendments to the CC&amp;A since 1988</w:t>
      </w:r>
      <w:r w:rsidR="0009017B">
        <w:rPr>
          <w:rFonts w:cs="Times New Roman"/>
          <w:szCs w:val="24"/>
        </w:rPr>
        <w:t xml:space="preserve"> </w:t>
      </w:r>
    </w:p>
    <w:p w14:paraId="61402825" w14:textId="7234820B" w:rsidR="00823790" w:rsidRDefault="00823790" w:rsidP="00823790">
      <w:pPr>
        <w:spacing w:after="264"/>
        <w:ind w:left="1080" w:hanging="360"/>
        <w:rPr>
          <w:rFonts w:cs="Times New Roman"/>
          <w:szCs w:val="24"/>
        </w:rPr>
      </w:pPr>
      <w:r>
        <w:rPr>
          <w:rFonts w:cs="Times New Roman"/>
          <w:szCs w:val="24"/>
        </w:rPr>
        <w:t xml:space="preserve">—  </w:t>
      </w:r>
      <w:r>
        <w:rPr>
          <w:rFonts w:cs="Times New Roman"/>
          <w:szCs w:val="24"/>
        </w:rPr>
        <w:t>The March 15, 2026 water-testing/inspection report and any prior inspection reports.</w:t>
      </w:r>
    </w:p>
    <w:p w14:paraId="2CD0F8C6" w14:textId="0639CB2F" w:rsidR="00823790" w:rsidRDefault="00823790" w:rsidP="00823790">
      <w:pPr>
        <w:spacing w:after="264"/>
        <w:ind w:left="1080" w:hanging="360"/>
        <w:rPr>
          <w:rFonts w:cs="Times New Roman"/>
          <w:szCs w:val="24"/>
        </w:rPr>
      </w:pPr>
      <w:r>
        <w:rPr>
          <w:rFonts w:cs="Times New Roman"/>
          <w:szCs w:val="24"/>
        </w:rPr>
        <w:t xml:space="preserve">—  </w:t>
      </w:r>
      <w:r>
        <w:rPr>
          <w:rFonts w:cs="Times New Roman"/>
          <w:szCs w:val="24"/>
        </w:rPr>
        <w:t>Contractor/vendor records for the balcony replacements (2024-2025) to examine whether it was done to code, whether drainage was addressed, and whether it shows the sliding door issue should have been caught then.</w:t>
      </w:r>
    </w:p>
    <w:p w14:paraId="44A16A5D" w14:textId="587614E1" w:rsidR="00F4736A" w:rsidRDefault="00F4736A" w:rsidP="00F4736A">
      <w:pPr>
        <w:pStyle w:val="NormalEnd"/>
        <w:spacing w:after="264"/>
      </w:pPr>
      <w:r w:rsidRPr="00DC2DC5">
        <w:rPr>
          <w:rStyle w:val="property1"/>
          <w:color w:val="auto"/>
        </w:rPr>
        <w:t xml:space="preserve">This section of the </w:t>
      </w:r>
      <w:r>
        <w:t>Preliminary Analysis</w:t>
      </w:r>
      <w:r w:rsidRPr="00DC2DC5">
        <w:rPr>
          <w:rStyle w:val="property1"/>
          <w:color w:val="auto"/>
        </w:rPr>
        <w:t xml:space="preserve"> may be amended from time to time as new information becomes known.</w:t>
      </w:r>
    </w:p>
    <w:p w14:paraId="1BC8C939" w14:textId="77777777" w:rsidR="00EE31B6" w:rsidRDefault="00EE31B6" w:rsidP="00EE31B6">
      <w:pPr>
        <w:pStyle w:val="Line"/>
      </w:pPr>
      <w:r w:rsidRPr="00097C4E">
        <w:t>________________________________</w:t>
      </w:r>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040F7531" w14:textId="0494B0BB" w:rsidR="00E94B60" w:rsidRDefault="00E94B60" w:rsidP="00CD069B">
      <w:pPr>
        <w:pStyle w:val="NormalEnd"/>
        <w:spacing w:after="264"/>
        <w:rPr>
          <w:rStyle w:val="property1"/>
          <w:rFonts w:eastAsia="Times New Roman" w:cs="Times New Roman"/>
          <w:szCs w:val="24"/>
        </w:rPr>
      </w:pPr>
      <w:r>
        <w:t>Although a Civil Code section 5200 demand went out, the HOA has not yet produced the documents. Once that occurs, the Firm will complete a thorough review of those documents to determine whether any that should’ve been produced are missing.</w:t>
      </w:r>
    </w:p>
    <w:p w14:paraId="70AFA15F" w14:textId="132AC2C4" w:rsidR="00CD069B" w:rsidRDefault="00CD069B" w:rsidP="00CD069B">
      <w:pPr>
        <w:pStyle w:val="Line"/>
      </w:pPr>
      <w:r w:rsidRPr="00097C4E">
        <w:t>________________________________</w:t>
      </w:r>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295F16F3" w14:textId="05C8F556" w:rsidR="007C628C" w:rsidRDefault="00E75B2C" w:rsidP="007F3488">
      <w:pPr>
        <w:spacing w:after="264"/>
        <w:rPr>
          <w:rFonts w:cs="Times New Roman"/>
          <w:szCs w:val="24"/>
        </w:rPr>
      </w:pPr>
      <w:bookmarkStart w:id="5" w:name="_Hlk43368188"/>
      <w:r>
        <w:rPr>
          <w:rFonts w:cs="Times New Roman"/>
          <w:szCs w:val="24"/>
        </w:rPr>
        <w:t xml:space="preserve">The Firm needs to ask Client </w:t>
      </w:r>
      <w:r w:rsidR="009D5AA1">
        <w:rPr>
          <w:rFonts w:cs="Times New Roman"/>
          <w:szCs w:val="24"/>
        </w:rPr>
        <w:t>for the</w:t>
      </w:r>
      <w:r>
        <w:rPr>
          <w:rFonts w:cs="Times New Roman"/>
          <w:szCs w:val="24"/>
        </w:rPr>
        <w:t xml:space="preserve"> following documents:</w:t>
      </w:r>
    </w:p>
    <w:p w14:paraId="0978A3B6" w14:textId="52A1126F" w:rsidR="009B3715" w:rsidRDefault="009B3715" w:rsidP="009B3715">
      <w:pPr>
        <w:spacing w:after="264"/>
        <w:ind w:left="1080" w:hanging="360"/>
        <w:rPr>
          <w:rFonts w:cs="Times New Roman"/>
          <w:szCs w:val="24"/>
        </w:rPr>
      </w:pPr>
      <w:r>
        <w:rPr>
          <w:rFonts w:cs="Times New Roman"/>
          <w:szCs w:val="24"/>
        </w:rPr>
        <w:t xml:space="preserve">—  </w:t>
      </w:r>
      <w:r>
        <w:rPr>
          <w:rFonts w:cs="Times New Roman"/>
          <w:szCs w:val="24"/>
        </w:rPr>
        <w:t>Bylaws</w:t>
      </w:r>
    </w:p>
    <w:p w14:paraId="78B9BD76" w14:textId="0DF52ACE" w:rsidR="00710C4F" w:rsidRDefault="00700EE3" w:rsidP="00700EE3">
      <w:pPr>
        <w:spacing w:after="264"/>
        <w:ind w:left="1080" w:hanging="360"/>
        <w:rPr>
          <w:rFonts w:cs="Times New Roman"/>
          <w:szCs w:val="24"/>
        </w:rPr>
      </w:pPr>
      <w:r w:rsidRPr="009D5AA1">
        <w:rPr>
          <w:rFonts w:cs="Times New Roman"/>
          <w:szCs w:val="24"/>
        </w:rPr>
        <w:t xml:space="preserve">—  </w:t>
      </w:r>
      <w:r>
        <w:rPr>
          <w:rFonts w:cs="Times New Roman"/>
          <w:szCs w:val="24"/>
        </w:rPr>
        <w:t>Any amendments to the CC&amp;R since 1988</w:t>
      </w:r>
    </w:p>
    <w:p w14:paraId="537A2861" w14:textId="3C697AA0" w:rsidR="009B3715" w:rsidRDefault="009B3715" w:rsidP="009B3715">
      <w:pPr>
        <w:spacing w:after="264"/>
        <w:ind w:left="1080" w:hanging="360"/>
        <w:rPr>
          <w:rFonts w:cs="Times New Roman"/>
          <w:szCs w:val="24"/>
        </w:rPr>
      </w:pPr>
      <w:r w:rsidRPr="009D5AA1">
        <w:rPr>
          <w:rFonts w:cs="Times New Roman"/>
          <w:szCs w:val="24"/>
        </w:rPr>
        <w:lastRenderedPageBreak/>
        <w:t xml:space="preserve">—  </w:t>
      </w:r>
      <w:r>
        <w:rPr>
          <w:rFonts w:cs="Times New Roman"/>
          <w:szCs w:val="24"/>
        </w:rPr>
        <w:t>The March 15, 2026 water-testing/inspection report and any prior inspection reports.</w:t>
      </w:r>
    </w:p>
    <w:p w14:paraId="063F7FF5" w14:textId="4023C4CB" w:rsidR="009B3715" w:rsidRDefault="009B3715" w:rsidP="009B3715">
      <w:pPr>
        <w:spacing w:after="264"/>
        <w:ind w:left="1080" w:hanging="360"/>
        <w:rPr>
          <w:rFonts w:cs="Times New Roman"/>
          <w:szCs w:val="24"/>
        </w:rPr>
      </w:pPr>
      <w:r w:rsidRPr="009D5AA1">
        <w:rPr>
          <w:rFonts w:cs="Times New Roman"/>
          <w:szCs w:val="24"/>
        </w:rPr>
        <w:t xml:space="preserve">—  </w:t>
      </w:r>
      <w:r>
        <w:rPr>
          <w:rFonts w:cs="Times New Roman"/>
          <w:szCs w:val="24"/>
        </w:rPr>
        <w:t>Contractor/vendor records for the balcony replacement to assess whether it was done to code, whether drainage was addressed, and whether the sliding door issue should have been caught then.</w:t>
      </w:r>
    </w:p>
    <w:p w14:paraId="7F00E508" w14:textId="53AAF044" w:rsidR="00C915B1" w:rsidRPr="00D979C9" w:rsidRDefault="00C915B1" w:rsidP="00D979C9">
      <w:pPr>
        <w:pStyle w:val="NormalEnd"/>
        <w:spacing w:after="264"/>
        <w:rPr>
          <w:rStyle w:val="property1"/>
          <w:color w:val="auto"/>
        </w:rPr>
      </w:pPr>
      <w:r w:rsidRPr="00D979C9">
        <w:rPr>
          <w:rStyle w:val="property1"/>
          <w:color w:val="auto"/>
        </w:rPr>
        <w:t xml:space="preserve">This section of the </w:t>
      </w:r>
      <w:r w:rsidR="0038079C" w:rsidRPr="00D979C9">
        <w:rPr>
          <w:rStyle w:val="property1"/>
          <w:color w:val="auto"/>
        </w:rPr>
        <w:t>Preliminary Analysis</w:t>
      </w:r>
      <w:r w:rsidRPr="00D979C9">
        <w:rPr>
          <w:rStyle w:val="property1"/>
          <w:color w:val="auto"/>
        </w:rPr>
        <w:t xml:space="preserve"> may be amended from time to time if Client locates additional documents, or if a third party produces additional documents.</w:t>
      </w:r>
    </w:p>
    <w:p w14:paraId="5CD3BCC2" w14:textId="388A9D0F" w:rsidR="009E43CE" w:rsidRDefault="009E43CE" w:rsidP="009E43CE">
      <w:pPr>
        <w:pStyle w:val="Line"/>
        <w:rPr>
          <w:rStyle w:val="property1"/>
          <w:rFonts w:eastAsia="Times New Roman"/>
          <w:szCs w:val="24"/>
        </w:rPr>
      </w:pPr>
      <w:r w:rsidRPr="00E9159A">
        <w:t>________________________________</w:t>
      </w:r>
    </w:p>
    <w:p w14:paraId="0731C418" w14:textId="7388D09C" w:rsidR="00075893" w:rsidRDefault="00D41496" w:rsidP="00A42392">
      <w:pPr>
        <w:spacing w:after="264"/>
        <w:jc w:val="center"/>
        <w:rPr>
          <w:rFonts w:cs="Times New Roman"/>
          <w:b/>
          <w:bCs/>
          <w:color w:val="000099"/>
          <w:sz w:val="28"/>
          <w:szCs w:val="28"/>
        </w:rPr>
      </w:pPr>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 xml:space="preserve">Lamden v. La Jolla Shores </w:t>
      </w:r>
      <w:proofErr w:type="spellStart"/>
      <w:r w:rsidR="006647C1" w:rsidRPr="006647C1">
        <w:rPr>
          <w:rFonts w:cs="Times New Roman"/>
          <w:bCs/>
          <w:i/>
          <w:iCs/>
          <w:szCs w:val="24"/>
        </w:rPr>
        <w:t>Clubdominium</w:t>
      </w:r>
      <w:proofErr w:type="spellEnd"/>
      <w:r w:rsidR="006647C1" w:rsidRPr="006647C1">
        <w:rPr>
          <w:rFonts w:cs="Times New Roman"/>
          <w:bCs/>
          <w:i/>
          <w:iCs/>
          <w:szCs w:val="24"/>
        </w:rPr>
        <w:t xml:space="preserve">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 xml:space="preserve">Lamden v. La Jolla Shores </w:t>
      </w:r>
      <w:proofErr w:type="spellStart"/>
      <w:r w:rsidR="004E56BA" w:rsidRPr="001875C5">
        <w:rPr>
          <w:rFonts w:cs="Times New Roman"/>
          <w:bCs/>
          <w:i/>
          <w:iCs/>
          <w:szCs w:val="24"/>
        </w:rPr>
        <w:t>Clubdominium</w:t>
      </w:r>
      <w:proofErr w:type="spellEnd"/>
      <w:r w:rsidR="004E56BA" w:rsidRPr="001875C5">
        <w:rPr>
          <w:rFonts w:cs="Times New Roman"/>
          <w:bCs/>
          <w:i/>
          <w:iCs/>
          <w:szCs w:val="24"/>
        </w:rPr>
        <w:t xml:space="preserve">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proofErr w:type="spellStart"/>
      <w:r w:rsidR="009A5946" w:rsidRPr="007D7A8E">
        <w:rPr>
          <w:rFonts w:cs="Times New Roman"/>
          <w:bCs/>
          <w:szCs w:val="24"/>
          <w:lang w:val="es-ES"/>
        </w:rPr>
        <w:t>Code</w:t>
      </w:r>
      <w:proofErr w:type="spellEnd"/>
      <w:r w:rsidR="009A5946" w:rsidRPr="007D7A8E">
        <w:rPr>
          <w:rFonts w:cs="Times New Roman"/>
          <w:bCs/>
          <w:szCs w:val="24"/>
          <w:lang w:val="es-ES"/>
        </w:rPr>
        <w:t xml:space="preserv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p w14:paraId="03D8BE70" w14:textId="01A9BBE2" w:rsidR="00A75054" w:rsidRDefault="00E02E28" w:rsidP="000A2D54">
      <w:pPr>
        <w:spacing w:after="264"/>
        <w:ind w:left="1080" w:hanging="360"/>
        <w:rPr>
          <w:rFonts w:cs="Times New Roman"/>
          <w:bCs/>
          <w:szCs w:val="24"/>
        </w:rPr>
      </w:pPr>
      <w:r>
        <w:rPr>
          <w:rFonts w:cs="Times New Roman"/>
          <w:bCs/>
          <w:szCs w:val="24"/>
        </w:rPr>
        <w:t xml:space="preserve">—  </w:t>
      </w:r>
      <w:r w:rsidR="00A321DF" w:rsidRPr="00E44C81">
        <w:rPr>
          <w:rFonts w:cs="Times New Roman"/>
          <w:bCs/>
          <w:szCs w:val="24"/>
        </w:rPr>
        <w:t xml:space="preserve">One of the fundamental duties of </w:t>
      </w:r>
      <w:r w:rsidR="006419DB" w:rsidRPr="00E44C81">
        <w:rPr>
          <w:rFonts w:cs="Times New Roman"/>
          <w:bCs/>
          <w:szCs w:val="24"/>
        </w:rPr>
        <w:t>an HOA</w:t>
      </w:r>
      <w:r w:rsidR="00A321DF" w:rsidRPr="00E44C81">
        <w:rPr>
          <w:rFonts w:cs="Times New Roman"/>
          <w:bCs/>
          <w:szCs w:val="24"/>
        </w:rPr>
        <w:t xml:space="preserve"> is to maintain the common areas. (Civ. Code</w:t>
      </w:r>
      <w:r w:rsidR="004D23A6" w:rsidRPr="00E44C81">
        <w:rPr>
          <w:rFonts w:cs="Times New Roman"/>
          <w:bCs/>
          <w:szCs w:val="24"/>
        </w:rPr>
        <w:t>,</w:t>
      </w:r>
      <w:r w:rsidR="00A321DF" w:rsidRPr="00E44C81">
        <w:rPr>
          <w:rFonts w:cs="Times New Roman"/>
          <w:bCs/>
          <w:szCs w:val="24"/>
        </w:rPr>
        <w:t xml:space="preserve"> § 4775.) In performing its duties, an association shall perform a reasonably competent and diligent visual inspection of the accessible areas of the major components that the association is obligated to repair, replace, restore or maintain. (Civ. Code</w:t>
      </w:r>
      <w:r w:rsidR="004D23A6" w:rsidRPr="00E44C81">
        <w:rPr>
          <w:rFonts w:cs="Times New Roman"/>
          <w:bCs/>
          <w:szCs w:val="24"/>
        </w:rPr>
        <w:t>,</w:t>
      </w:r>
      <w:r w:rsidR="00A321DF" w:rsidRPr="00E44C81">
        <w:rPr>
          <w:rFonts w:cs="Times New Roman"/>
          <w:bCs/>
          <w:szCs w:val="24"/>
        </w:rPr>
        <w:t xml:space="preserve"> § 5500(a).)</w:t>
      </w:r>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1F6E509D" w14:textId="77777777" w:rsidR="003F0E15" w:rsidRDefault="002D206C"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009B4639" w:rsidRPr="009B4639">
        <w:rPr>
          <w:rFonts w:cs="Times New Roman"/>
          <w:bCs/>
          <w:szCs w:val="24"/>
          <w:highlight w:val="green"/>
        </w:rPr>
        <w:t xml:space="preserve"> the </w:t>
      </w:r>
      <w:r w:rsidR="009B4639" w:rsidRPr="006D2A6D">
        <w:rPr>
          <w:rFonts w:cs="Times New Roman"/>
          <w:bCs/>
          <w:i/>
          <w:iCs/>
          <w:szCs w:val="24"/>
          <w:highlight w:val="green"/>
          <w:u w:val="single"/>
        </w:rPr>
        <w:t>strength</w:t>
      </w:r>
      <w:r w:rsidR="006D2A6D" w:rsidRPr="006D2A6D">
        <w:rPr>
          <w:rFonts w:cs="Times New Roman"/>
          <w:bCs/>
          <w:i/>
          <w:iCs/>
          <w:szCs w:val="24"/>
          <w:highlight w:val="green"/>
          <w:u w:val="single"/>
        </w:rPr>
        <w:t>s</w:t>
      </w:r>
      <w:r w:rsidR="009B4639" w:rsidRPr="009B4639">
        <w:rPr>
          <w:rFonts w:cs="Times New Roman"/>
          <w:bCs/>
          <w:szCs w:val="24"/>
          <w:highlight w:val="green"/>
        </w:rPr>
        <w:t xml:space="preserve"> of this particular cause of action given the evidence at our disposal. </w:t>
      </w:r>
    </w:p>
    <w:p w14:paraId="26085B79" w14:textId="77777777" w:rsidR="003F0E15" w:rsidRDefault="006D2A6D"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7844A719" w14:textId="77777777" w:rsidR="003F0E15" w:rsidRDefault="00D129F9" w:rsidP="00E13C80">
      <w:pPr>
        <w:pStyle w:val="Heading2"/>
        <w:spacing w:after="264"/>
        <w:rPr>
          <w:sz w:val="24"/>
          <w:szCs w:val="24"/>
        </w:rPr>
      </w:pPr>
      <w:r w:rsidRPr="00F1120A">
        <w:lastRenderedPageBreak/>
        <w:fldChar w:fldCharType="begin"/>
      </w:r>
      <w:r w:rsidRPr="00F1120A">
        <w:instrText xml:space="preserve"> LISTNUM LegalDefault \l 2 </w:instrText>
      </w:r>
      <w:r w:rsidRPr="00F1120A">
        <w:fldChar w:fldCharType="end"/>
      </w:r>
      <w:r w:rsidR="006669B8">
        <w:br/>
      </w:r>
      <w:r w:rsidRPr="00F1120A">
        <w:t>Negligence</w:t>
      </w:r>
    </w:p>
    <w:p w14:paraId="23D8B756" w14:textId="77777777" w:rsidR="003F0E15" w:rsidRDefault="00CB10A8" w:rsidP="00B2496E">
      <w:pPr>
        <w:spacing w:after="264"/>
        <w:rPr>
          <w:rFonts w:cs="Times New Roman"/>
          <w:bCs/>
          <w:szCs w:val="24"/>
        </w:rPr>
      </w:pPr>
      <w:r w:rsidRPr="00CB10A8">
        <w:rPr>
          <w:rFonts w:cs="Times New Roman"/>
          <w:bCs/>
          <w:szCs w:val="24"/>
          <w:u w:val="single"/>
        </w:rPr>
        <w:t>Elements</w:t>
      </w:r>
      <w:r>
        <w:rPr>
          <w:rFonts w:cs="Times New Roman"/>
          <w:bCs/>
          <w:szCs w:val="24"/>
        </w:rPr>
        <w:t>—</w:t>
      </w:r>
      <w:r w:rsidR="00A87571">
        <w:rPr>
          <w:rFonts w:cs="Times New Roman"/>
          <w:bCs/>
          <w:szCs w:val="24"/>
        </w:rPr>
        <w:t>Negligence</w:t>
      </w:r>
      <w:r w:rsidR="00F4349E">
        <w:rPr>
          <w:rFonts w:cs="Times New Roman"/>
          <w:bCs/>
          <w:szCs w:val="24"/>
        </w:rPr>
        <w:t>.</w:t>
      </w:r>
    </w:p>
    <w:p w14:paraId="6F72F510" w14:textId="77777777" w:rsidR="003F0E15" w:rsidRDefault="00A87571" w:rsidP="00A87571">
      <w:pPr>
        <w:spacing w:after="264"/>
        <w:ind w:left="1080" w:hanging="360"/>
        <w:rPr>
          <w:rFonts w:cs="Times New Roman"/>
          <w:bCs/>
          <w:szCs w:val="24"/>
        </w:rPr>
      </w:pPr>
      <w:r>
        <w:rPr>
          <w:rFonts w:cs="Times New Roman"/>
          <w:bCs/>
          <w:szCs w:val="24"/>
        </w:rPr>
        <w:t xml:space="preserve">—  </w:t>
      </w:r>
      <w:r w:rsidR="005252D4" w:rsidRPr="005252D4">
        <w:rPr>
          <w:rFonts w:cs="Times New Roman"/>
          <w:bCs/>
          <w:szCs w:val="24"/>
        </w:rPr>
        <w:t xml:space="preserve">To prove a claim for negligence, </w:t>
      </w:r>
      <w:r w:rsidR="005252D4">
        <w:rPr>
          <w:rFonts w:cs="Times New Roman"/>
          <w:bCs/>
          <w:szCs w:val="24"/>
        </w:rPr>
        <w:t>p</w:t>
      </w:r>
      <w:r w:rsidR="005252D4" w:rsidRPr="005252D4">
        <w:rPr>
          <w:rFonts w:cs="Times New Roman"/>
          <w:bCs/>
          <w:szCs w:val="24"/>
        </w:rPr>
        <w:t>laintiff must establish: (i) duty; (ii) breach of duty; (iii) proximate cause; and (iv) damages. (</w:t>
      </w:r>
      <w:r w:rsidR="005252D4" w:rsidRPr="005252D4">
        <w:rPr>
          <w:rFonts w:cs="Times New Roman"/>
          <w:bCs/>
          <w:i/>
          <w:iCs/>
          <w:szCs w:val="24"/>
        </w:rPr>
        <w:t>Peredia v. HR Mobile Services, Inc.</w:t>
      </w:r>
      <w:r w:rsidR="005252D4" w:rsidRPr="005252D4">
        <w:rPr>
          <w:rFonts w:cs="Times New Roman"/>
          <w:bCs/>
          <w:szCs w:val="24"/>
        </w:rPr>
        <w:t xml:space="preserve"> (2018) 25 Cal.App.5th 680, 687.)</w:t>
      </w:r>
      <w:r w:rsidR="00346E1B">
        <w:rPr>
          <w:rFonts w:cs="Times New Roman"/>
          <w:bCs/>
          <w:szCs w:val="24"/>
        </w:rPr>
        <w:t xml:space="preserve"> </w:t>
      </w:r>
    </w:p>
    <w:p w14:paraId="603840E0" w14:textId="77777777" w:rsidR="003F0E15" w:rsidRDefault="00805BD9" w:rsidP="00A87571">
      <w:pPr>
        <w:spacing w:after="264"/>
        <w:ind w:left="1080" w:hanging="360"/>
        <w:rPr>
          <w:rFonts w:cs="Times New Roman"/>
          <w:bCs/>
          <w:szCs w:val="24"/>
        </w:rPr>
      </w:pPr>
      <w:r>
        <w:rPr>
          <w:rFonts w:cs="Times New Roman"/>
          <w:bCs/>
          <w:szCs w:val="24"/>
        </w:rPr>
        <w:t xml:space="preserve">—  </w:t>
      </w:r>
      <w:r w:rsidR="006419DB">
        <w:rPr>
          <w:rFonts w:cs="Times New Roman"/>
          <w:bCs/>
          <w:szCs w:val="24"/>
        </w:rPr>
        <w:t>An HOA</w:t>
      </w:r>
      <w:r w:rsidR="00346E1B" w:rsidRPr="00805BD9">
        <w:rPr>
          <w:rFonts w:cs="Times New Roman"/>
          <w:bCs/>
          <w:szCs w:val="24"/>
        </w:rPr>
        <w:t xml:space="preserve"> that fails or refuses to abide by its contractual maintenance obligations is liable to the homeowner for damages caused by such negligence. (See, e.g., </w:t>
      </w:r>
      <w:r w:rsidR="00346E1B" w:rsidRPr="00805BD9">
        <w:rPr>
          <w:rFonts w:cs="Times New Roman"/>
          <w:bCs/>
          <w:i/>
          <w:iCs/>
          <w:szCs w:val="24"/>
        </w:rPr>
        <w:t>White v. Cox</w:t>
      </w:r>
      <w:r w:rsidR="00346E1B" w:rsidRPr="00805BD9">
        <w:rPr>
          <w:rFonts w:cs="Times New Roman"/>
          <w:bCs/>
          <w:szCs w:val="24"/>
        </w:rPr>
        <w:t xml:space="preserve"> (1971) 17 Cal.App.3d 824, 895.)</w:t>
      </w:r>
      <w:r w:rsidR="00346E1B">
        <w:rPr>
          <w:rFonts w:cs="Times New Roman"/>
          <w:bCs/>
          <w:szCs w:val="24"/>
        </w:rPr>
        <w:t xml:space="preserve"> </w:t>
      </w:r>
    </w:p>
    <w:bookmarkStart w:id="11" w:name="_Hlk42581531"/>
    <w:p w14:paraId="7492B443" w14:textId="77777777" w:rsidR="003F0E15" w:rsidRDefault="00ED07CF" w:rsidP="00A87571">
      <w:pPr>
        <w:spacing w:after="264"/>
        <w:ind w:left="1080" w:hanging="360"/>
        <w:rPr>
          <w:rStyle w:val="property1"/>
          <w:rFonts w:eastAsia="Times New Roman" w:cs="Times New Roman"/>
          <w:szCs w:val="24"/>
        </w:rPr>
      </w:pPr>
      <w:r>
        <w:rPr>
          <w:rFonts w:cs="Times New Roman"/>
          <w:bCs/>
          <w:szCs w:val="24"/>
        </w:rPr>
        <w:t xml:space="preserve">—  </w:t>
      </w:r>
      <w:bookmarkStart w:id="12" w:name="_Hlk41133419"/>
      <w:r>
        <w:rPr>
          <w:rFonts w:cs="Times New Roman"/>
          <w:bCs/>
          <w:szCs w:val="24"/>
        </w:rPr>
        <w:t xml:space="preserve">The “enforcement” issue </w:t>
      </w:r>
      <w:r w:rsidR="005968E0">
        <w:rPr>
          <w:rFonts w:cs="Times New Roman"/>
          <w:bCs/>
          <w:szCs w:val="24"/>
        </w:rPr>
        <w:t>raised</w:t>
      </w:r>
      <w:r>
        <w:rPr>
          <w:rFonts w:cs="Times New Roman"/>
          <w:bCs/>
          <w:szCs w:val="24"/>
        </w:rPr>
        <w:t xml:space="preserve"> </w:t>
      </w:r>
      <w:r w:rsidR="00CD0C1E">
        <w:rPr>
          <w:rFonts w:cs="Times New Roman"/>
          <w:bCs/>
          <w:szCs w:val="24"/>
        </w:rPr>
        <w:t xml:space="preserve">in the context of </w:t>
      </w:r>
      <w:r>
        <w:rPr>
          <w:rFonts w:cs="Times New Roman"/>
          <w:bCs/>
          <w:szCs w:val="24"/>
        </w:rPr>
        <w:t xml:space="preserve">the “Breach of CC&amp;Rs” cause of action above </w:t>
      </w:r>
      <w:r w:rsidR="005968E0">
        <w:rPr>
          <w:rFonts w:cs="Times New Roman"/>
          <w:bCs/>
          <w:szCs w:val="24"/>
        </w:rPr>
        <w:t>is</w:t>
      </w:r>
      <w:r w:rsidR="00CD0C1E">
        <w:rPr>
          <w:rFonts w:cs="Times New Roman"/>
          <w:bCs/>
          <w:szCs w:val="24"/>
        </w:rPr>
        <w:t xml:space="preserve"> also</w:t>
      </w:r>
      <w:r>
        <w:rPr>
          <w:rFonts w:cs="Times New Roman"/>
          <w:bCs/>
          <w:szCs w:val="24"/>
        </w:rPr>
        <w:t xml:space="preserve"> applicable in the context of a negligence </w:t>
      </w:r>
      <w:r w:rsidR="00CD0C1E">
        <w:rPr>
          <w:rFonts w:cs="Times New Roman"/>
          <w:bCs/>
          <w:szCs w:val="24"/>
        </w:rPr>
        <w:t>claim</w:t>
      </w:r>
      <w:r>
        <w:rPr>
          <w:rFonts w:cs="Times New Roman"/>
          <w:bCs/>
          <w:szCs w:val="24"/>
        </w:rPr>
        <w:t>.</w:t>
      </w:r>
      <w:bookmarkEnd w:id="12"/>
    </w:p>
    <w:bookmarkStart w:id="13" w:name="_Hlk41032600"/>
    <w:p w14:paraId="1B59E5E9" w14:textId="77777777" w:rsidR="003F0E15" w:rsidRDefault="001A327C" w:rsidP="001A327C">
      <w:pPr>
        <w:spacing w:after="264"/>
        <w:ind w:left="1080" w:hanging="360"/>
        <w:rPr>
          <w:rStyle w:val="property1"/>
          <w:rFonts w:eastAsia="Times New Roman"/>
        </w:rPr>
      </w:pPr>
      <w:bookmarkStart w:id="14" w:name="_Hlk41131756"/>
      <w:r>
        <w:rPr>
          <w:rFonts w:cs="Times New Roman"/>
          <w:bCs/>
          <w:szCs w:val="24"/>
        </w:rPr>
        <w:t xml:space="preserve">—  </w:t>
      </w:r>
      <w:r w:rsidR="00E64351">
        <w:rPr>
          <w:rFonts w:cs="Times New Roman"/>
          <w:bCs/>
          <w:szCs w:val="24"/>
        </w:rPr>
        <w:t>The “failure to maintain” issue discussed in the context of the “Breach of CC&amp;Rs” cause of action above is also applicable in the context of a negligence claim.</w:t>
      </w:r>
      <w:bookmarkEnd w:id="14"/>
      <w:r w:rsidR="00E64351">
        <w:rPr>
          <w:rFonts w:cs="Times New Roman"/>
          <w:szCs w:val="24"/>
        </w:rPr>
        <w:t xml:space="preserve"> </w:t>
      </w:r>
    </w:p>
    <w:p w14:paraId="6E071E06"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04313290" w14:textId="77777777" w:rsidR="003F0E15" w:rsidRDefault="00805A7D"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Compensatory damages are available for all harm proximately caused by a defendant’s wrongful acts. (Civ. Code, §§ 3281, 3333-3343.7.)</w:t>
      </w:r>
    </w:p>
    <w:p w14:paraId="7679D226" w14:textId="77777777" w:rsidR="003F0E15" w:rsidRDefault="00CF5802"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Injunctive Relief is available. Courts can fashion equitable relief to remedy negligent conditions. (</w:t>
      </w:r>
      <w:r w:rsidR="003048F9" w:rsidRPr="003048F9">
        <w:rPr>
          <w:rFonts w:cs="Times New Roman"/>
          <w:bCs/>
          <w:i/>
          <w:iCs/>
          <w:szCs w:val="24"/>
        </w:rPr>
        <w:t>Ritter &amp; Ritter Inc. Pension and Profit Plan v. The Churchill Condominium Assn.</w:t>
      </w:r>
      <w:r w:rsidR="003048F9" w:rsidRPr="003048F9">
        <w:rPr>
          <w:rFonts w:cs="Times New Roman"/>
          <w:bCs/>
          <w:szCs w:val="24"/>
        </w:rPr>
        <w:t xml:space="preserve"> (2008) 166 Cal.App.4th 103.)</w:t>
      </w:r>
    </w:p>
    <w:p w14:paraId="5938FE63" w14:textId="77777777" w:rsidR="003F0E15" w:rsidRDefault="00630C8F" w:rsidP="00805A7D">
      <w:pPr>
        <w:spacing w:after="264"/>
        <w:ind w:left="1080" w:hanging="360"/>
        <w:rPr>
          <w:rFonts w:cs="Times New Roman"/>
          <w:bCs/>
          <w:szCs w:val="24"/>
        </w:rPr>
      </w:pPr>
      <w:r>
        <w:rPr>
          <w:rFonts w:cs="Times New Roman"/>
          <w:bCs/>
          <w:szCs w:val="24"/>
        </w:rPr>
        <w:t xml:space="preserve">—  Damages for emotional distress are only available in connection with bodily injury. </w:t>
      </w:r>
      <w:r w:rsidRPr="00630C8F">
        <w:rPr>
          <w:rFonts w:cs="Times New Roman"/>
          <w:bCs/>
          <w:szCs w:val="24"/>
        </w:rPr>
        <w:t>(</w:t>
      </w:r>
      <w:r w:rsidRPr="00630C8F">
        <w:rPr>
          <w:rFonts w:cs="Times New Roman"/>
          <w:bCs/>
          <w:i/>
          <w:iCs/>
          <w:szCs w:val="24"/>
        </w:rPr>
        <w:t>Potter v. Firestone Tire &amp; Rubber</w:t>
      </w:r>
      <w:r w:rsidRPr="00630C8F">
        <w:rPr>
          <w:rFonts w:cs="Times New Roman"/>
          <w:bCs/>
          <w:szCs w:val="24"/>
        </w:rPr>
        <w:t xml:space="preserve"> (1993) 6 Cal.4th 965.) </w:t>
      </w:r>
      <w:r>
        <w:rPr>
          <w:rFonts w:cs="Times New Roman"/>
          <w:bCs/>
          <w:szCs w:val="24"/>
        </w:rPr>
        <w:t xml:space="preserve">Such relief, when available, arises out of a claim for </w:t>
      </w:r>
      <w:r w:rsidRPr="00630C8F">
        <w:rPr>
          <w:rFonts w:cs="Times New Roman"/>
          <w:bCs/>
          <w:szCs w:val="24"/>
        </w:rPr>
        <w:t xml:space="preserve"> </w:t>
      </w:r>
      <w:r w:rsidRPr="00630C8F">
        <w:rPr>
          <w:rFonts w:cs="Times New Roman"/>
          <w:bCs/>
          <w:i/>
          <w:iCs/>
          <w:szCs w:val="24"/>
        </w:rPr>
        <w:t>negligent infliction of emotional distress</w:t>
      </w:r>
      <w:r w:rsidRPr="00630C8F">
        <w:rPr>
          <w:rFonts w:cs="Times New Roman"/>
          <w:bCs/>
          <w:szCs w:val="24"/>
        </w:rPr>
        <w:t xml:space="preserve">, </w:t>
      </w:r>
      <w:r w:rsidR="003048F9">
        <w:rPr>
          <w:rFonts w:cs="Times New Roman"/>
          <w:bCs/>
          <w:szCs w:val="24"/>
        </w:rPr>
        <w:t xml:space="preserve">which often involve </w:t>
      </w:r>
      <w:r w:rsidRPr="00630C8F">
        <w:rPr>
          <w:rFonts w:cs="Times New Roman"/>
          <w:bCs/>
          <w:szCs w:val="24"/>
        </w:rPr>
        <w:t>“bystander situations”</w:t>
      </w:r>
      <w:r w:rsidR="003048F9">
        <w:rPr>
          <w:rFonts w:cs="Times New Roman"/>
          <w:bCs/>
          <w:szCs w:val="24"/>
        </w:rPr>
        <w:t xml:space="preserve">—e.g., witnessing injury to a family member. </w:t>
      </w:r>
      <w:r w:rsidRPr="00630C8F">
        <w:rPr>
          <w:rFonts w:cs="Times New Roman"/>
          <w:bCs/>
          <w:szCs w:val="24"/>
        </w:rPr>
        <w:t>(</w:t>
      </w:r>
      <w:r w:rsidRPr="00630C8F">
        <w:rPr>
          <w:rFonts w:cs="Times New Roman"/>
          <w:bCs/>
          <w:i/>
          <w:iCs/>
          <w:szCs w:val="24"/>
        </w:rPr>
        <w:t>Burgess v. Superior Court</w:t>
      </w:r>
      <w:r w:rsidRPr="00630C8F">
        <w:rPr>
          <w:rFonts w:cs="Times New Roman"/>
          <w:bCs/>
          <w:szCs w:val="24"/>
        </w:rPr>
        <w:t xml:space="preserve"> (1992) 2 Cal.4th 1064.) Emotional distress damages for negligence </w:t>
      </w:r>
      <w:r w:rsidRPr="000A1839">
        <w:rPr>
          <w:rFonts w:cs="Times New Roman"/>
          <w:bCs/>
          <w:i/>
          <w:iCs/>
          <w:szCs w:val="24"/>
        </w:rPr>
        <w:t>without</w:t>
      </w:r>
      <w:r w:rsidRPr="00630C8F">
        <w:rPr>
          <w:rFonts w:cs="Times New Roman"/>
          <w:bCs/>
          <w:szCs w:val="24"/>
        </w:rPr>
        <w:t xml:space="preserve"> injury</w:t>
      </w:r>
      <w:r w:rsidR="000A1839">
        <w:rPr>
          <w:rFonts w:cs="Times New Roman"/>
          <w:bCs/>
          <w:szCs w:val="24"/>
        </w:rPr>
        <w:t xml:space="preserve"> (e.g., fear </w:t>
      </w:r>
      <w:r w:rsidRPr="00630C8F">
        <w:rPr>
          <w:rFonts w:cs="Times New Roman"/>
          <w:bCs/>
          <w:szCs w:val="24"/>
        </w:rPr>
        <w:t>of illness such as cancer if exposed to toxic substances threatening cancer</w:t>
      </w:r>
      <w:r w:rsidR="000A1839">
        <w:rPr>
          <w:rFonts w:cs="Times New Roman"/>
          <w:bCs/>
          <w:szCs w:val="24"/>
        </w:rPr>
        <w:t xml:space="preserve">) available if </w:t>
      </w:r>
      <w:r w:rsidRPr="00630C8F">
        <w:rPr>
          <w:rFonts w:cs="Times New Roman"/>
          <w:bCs/>
          <w:szCs w:val="24"/>
        </w:rPr>
        <w:t>defendant acted with malice, fraud</w:t>
      </w:r>
      <w:r w:rsidR="000A1839">
        <w:rPr>
          <w:rFonts w:cs="Times New Roman"/>
          <w:bCs/>
          <w:szCs w:val="24"/>
        </w:rPr>
        <w:t>,</w:t>
      </w:r>
      <w:r w:rsidRPr="00630C8F">
        <w:rPr>
          <w:rFonts w:cs="Times New Roman"/>
          <w:bCs/>
          <w:szCs w:val="24"/>
        </w:rPr>
        <w:t xml:space="preserve"> or oppression</w:t>
      </w:r>
      <w:r w:rsidR="000A1839">
        <w:rPr>
          <w:rFonts w:cs="Times New Roman"/>
          <w:bCs/>
          <w:szCs w:val="24"/>
        </w:rPr>
        <w:t xml:space="preserve">, and the </w:t>
      </w:r>
      <w:r w:rsidRPr="00630C8F">
        <w:rPr>
          <w:rFonts w:cs="Times New Roman"/>
          <w:bCs/>
          <w:szCs w:val="24"/>
        </w:rPr>
        <w:t>fear is based on knowledge corroborated by reliable medical or scientific evidence. (</w:t>
      </w:r>
      <w:r w:rsidRPr="000A1839">
        <w:rPr>
          <w:rFonts w:cs="Times New Roman"/>
          <w:bCs/>
          <w:i/>
          <w:iCs/>
          <w:szCs w:val="24"/>
        </w:rPr>
        <w:t>Potter v. Firestone Tire &amp; Rubber, supra</w:t>
      </w:r>
      <w:r w:rsidRPr="00630C8F">
        <w:rPr>
          <w:rFonts w:cs="Times New Roman"/>
          <w:bCs/>
          <w:szCs w:val="24"/>
        </w:rPr>
        <w:t>, 6 Cal.4th at pp. 999-1000.)</w:t>
      </w:r>
    </w:p>
    <w:p w14:paraId="3792E24E"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765328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F2781C5" w14:textId="77777777" w:rsidR="003F0E15" w:rsidRDefault="00CE6FC7" w:rsidP="00CE6FC7">
      <w:pPr>
        <w:spacing w:after="264"/>
        <w:ind w:left="1080" w:hanging="360"/>
        <w:rPr>
          <w:rFonts w:cs="Times New Roman"/>
          <w:bCs/>
          <w:szCs w:val="24"/>
        </w:rPr>
      </w:pPr>
      <w:r>
        <w:rPr>
          <w:rFonts w:cs="Times New Roman"/>
          <w:bCs/>
          <w:szCs w:val="24"/>
        </w:rPr>
        <w:t xml:space="preserve">—  </w:t>
      </w:r>
      <w:r w:rsidR="00046B57" w:rsidRPr="00046B57">
        <w:rPr>
          <w:rFonts w:cs="Times New Roman"/>
          <w:bCs/>
          <w:szCs w:val="24"/>
        </w:rPr>
        <w:t>Two years for personal injuries</w:t>
      </w:r>
      <w:r w:rsidR="00046B57">
        <w:rPr>
          <w:rFonts w:cs="Times New Roman"/>
          <w:bCs/>
          <w:szCs w:val="24"/>
        </w:rPr>
        <w:t>.</w:t>
      </w:r>
      <w:r w:rsidR="00046B57" w:rsidRPr="00046B57">
        <w:rPr>
          <w:rFonts w:cs="Times New Roman"/>
          <w:bCs/>
          <w:szCs w:val="24"/>
        </w:rPr>
        <w:t xml:space="preserve"> (Code Civ. Proc.</w:t>
      </w:r>
      <w:r w:rsidR="00046B57">
        <w:rPr>
          <w:rFonts w:cs="Times New Roman"/>
          <w:bCs/>
          <w:szCs w:val="24"/>
        </w:rPr>
        <w:t>,</w:t>
      </w:r>
      <w:r w:rsidR="00046B57" w:rsidRPr="00046B57">
        <w:rPr>
          <w:rFonts w:cs="Times New Roman"/>
          <w:bCs/>
          <w:szCs w:val="24"/>
        </w:rPr>
        <w:t xml:space="preserve"> §</w:t>
      </w:r>
      <w:r w:rsidR="00046B57">
        <w:rPr>
          <w:rFonts w:cs="Times New Roman"/>
          <w:bCs/>
          <w:szCs w:val="24"/>
        </w:rPr>
        <w:t xml:space="preserve"> </w:t>
      </w:r>
      <w:r w:rsidR="00046B57" w:rsidRPr="00046B57">
        <w:rPr>
          <w:rFonts w:cs="Times New Roman"/>
          <w:bCs/>
          <w:szCs w:val="24"/>
        </w:rPr>
        <w:t>335.1</w:t>
      </w:r>
      <w:r w:rsidR="00046B57">
        <w:rPr>
          <w:rFonts w:cs="Times New Roman"/>
          <w:bCs/>
          <w:szCs w:val="24"/>
        </w:rPr>
        <w:t>.</w:t>
      </w:r>
      <w:r w:rsidR="00046B57" w:rsidRPr="00046B57">
        <w:rPr>
          <w:rFonts w:cs="Times New Roman"/>
          <w:bCs/>
          <w:szCs w:val="24"/>
        </w:rPr>
        <w:t>)</w:t>
      </w:r>
    </w:p>
    <w:p w14:paraId="525DB925" w14:textId="77777777" w:rsidR="003F0E15" w:rsidRDefault="00046B57" w:rsidP="00CE6FC7">
      <w:pPr>
        <w:spacing w:after="264"/>
        <w:ind w:left="1080" w:hanging="360"/>
        <w:rPr>
          <w:rFonts w:cs="Times New Roman"/>
          <w:bCs/>
          <w:szCs w:val="24"/>
        </w:rPr>
      </w:pPr>
      <w:r>
        <w:rPr>
          <w:rFonts w:cs="Times New Roman"/>
          <w:bCs/>
          <w:szCs w:val="24"/>
        </w:rPr>
        <w:t xml:space="preserve">—  Three years for claims related to injury to property.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p>
    <w:p w14:paraId="0E4BE0B7" w14:textId="77777777" w:rsidR="003F0E15" w:rsidRDefault="00FD0D17"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3177D0" w:rsidRPr="00C5389E">
        <w:rPr>
          <w:rFonts w:cs="Times New Roman"/>
          <w:bCs/>
          <w:szCs w:val="24"/>
        </w:rPr>
        <w:t>Application of the Law to Client’s Facts.</w:t>
      </w:r>
    </w:p>
    <w:p w14:paraId="496EC167" w14:textId="77777777" w:rsidR="003F0E15" w:rsidRDefault="003177D0" w:rsidP="003177D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FD0D17"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negligence</w:t>
      </w:r>
      <w:r w:rsidR="00FD0D17"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FD0D17" w:rsidRPr="009B4639">
        <w:rPr>
          <w:rFonts w:cs="Times New Roman"/>
          <w:bCs/>
          <w:szCs w:val="24"/>
          <w:highlight w:val="green"/>
        </w:rPr>
        <w:t xml:space="preserve"> </w:t>
      </w:r>
    </w:p>
    <w:p w14:paraId="12D98153" w14:textId="77777777" w:rsidR="003F0E15" w:rsidRDefault="006066A6" w:rsidP="006066A6">
      <w:pPr>
        <w:spacing w:after="264"/>
        <w:ind w:left="1080" w:hanging="360"/>
        <w:rPr>
          <w:rFonts w:cs="Times New Roman"/>
          <w:bCs/>
          <w:szCs w:val="24"/>
          <w:highlight w:val="green"/>
        </w:rPr>
      </w:pPr>
      <w:r w:rsidRPr="002D206C">
        <w:rPr>
          <w:rFonts w:cs="Times New Roman"/>
          <w:bCs/>
          <w:szCs w:val="24"/>
          <w:highlight w:val="green"/>
        </w:rPr>
        <w:t>—  ***</w:t>
      </w:r>
    </w:p>
    <w:p w14:paraId="4ECC6E8A" w14:textId="77777777" w:rsidR="003F0E15" w:rsidRDefault="006066A6" w:rsidP="006066A6">
      <w:pPr>
        <w:spacing w:after="264"/>
        <w:ind w:left="1080" w:hanging="360"/>
        <w:rPr>
          <w:rFonts w:cs="Times New Roman"/>
          <w:bCs/>
          <w:szCs w:val="24"/>
        </w:rPr>
      </w:pPr>
      <w:r w:rsidRPr="002D206C">
        <w:rPr>
          <w:rFonts w:cs="Times New Roman"/>
          <w:bCs/>
          <w:szCs w:val="24"/>
          <w:highlight w:val="green"/>
        </w:rPr>
        <w:t>—  ***</w:t>
      </w:r>
    </w:p>
    <w:p w14:paraId="4E05CC6C" w14:textId="77777777" w:rsidR="003F0E15" w:rsidRDefault="006066A6" w:rsidP="006066A6">
      <w:pPr>
        <w:spacing w:after="264"/>
        <w:rPr>
          <w:rFonts w:cs="Times New Roman"/>
          <w:bCs/>
          <w:szCs w:val="24"/>
          <w:highlight w:val="green"/>
        </w:rPr>
      </w:pPr>
      <w:r w:rsidRPr="00C5389E">
        <w:rPr>
          <w:rFonts w:cs="Times New Roman"/>
          <w:bCs/>
          <w:szCs w:val="24"/>
          <w:u w:val="single"/>
        </w:rPr>
        <w:lastRenderedPageBreak/>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02771771" w14:textId="77777777" w:rsidR="003F0E15" w:rsidRDefault="006066A6" w:rsidP="006066A6">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w:t>
      </w:r>
    </w:p>
    <w:p w14:paraId="5CD7D376" w14:textId="77777777" w:rsidR="003F0E15" w:rsidRDefault="006066A6" w:rsidP="006066A6">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85D10E6" w14:textId="77777777" w:rsidR="003F0E15" w:rsidRDefault="00827681"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5B6D7D5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lastRenderedPageBreak/>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E6F3EF3"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665499D0" w14:textId="77777777" w:rsidR="003F0E15" w:rsidRDefault="004D0958" w:rsidP="00D23C04">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7A5B2F0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Nuisance</w:t>
      </w:r>
    </w:p>
    <w:p w14:paraId="56F2202F" w14:textId="77777777" w:rsidR="003F0E15" w:rsidRDefault="00CB10A8" w:rsidP="000B74A2">
      <w:pPr>
        <w:spacing w:after="264"/>
        <w:rPr>
          <w:rFonts w:cs="Times New Roman"/>
          <w:bCs/>
          <w:szCs w:val="24"/>
        </w:rPr>
      </w:pPr>
      <w:r w:rsidRPr="00CB10A8">
        <w:rPr>
          <w:rFonts w:cs="Times New Roman"/>
          <w:bCs/>
          <w:szCs w:val="24"/>
          <w:u w:val="single"/>
        </w:rPr>
        <w:t>Elements</w:t>
      </w:r>
      <w:r>
        <w:rPr>
          <w:rFonts w:cs="Times New Roman"/>
          <w:bCs/>
          <w:szCs w:val="24"/>
        </w:rPr>
        <w:t>—</w:t>
      </w:r>
      <w:r w:rsidR="009B1AAC">
        <w:rPr>
          <w:rFonts w:cs="Times New Roman"/>
          <w:bCs/>
          <w:szCs w:val="24"/>
        </w:rPr>
        <w:t>Nuisance.</w:t>
      </w:r>
    </w:p>
    <w:p w14:paraId="4B1C7542" w14:textId="77777777" w:rsidR="003F0E15" w:rsidRDefault="000B74A2" w:rsidP="000B74A2">
      <w:pPr>
        <w:spacing w:after="264"/>
        <w:ind w:left="1080" w:hanging="360"/>
        <w:rPr>
          <w:rFonts w:cs="Times New Roman"/>
          <w:bCs/>
          <w:szCs w:val="24"/>
        </w:rPr>
      </w:pPr>
      <w:r>
        <w:rPr>
          <w:rFonts w:cs="Times New Roman"/>
          <w:bCs/>
          <w:szCs w:val="24"/>
        </w:rPr>
        <w:t xml:space="preserve">—  </w:t>
      </w:r>
      <w:r w:rsidR="00440583">
        <w:rPr>
          <w:rFonts w:cs="Times New Roman"/>
          <w:bCs/>
          <w:szCs w:val="24"/>
        </w:rPr>
        <w:t>The elements for a private nuisance claim are: (i) p</w:t>
      </w:r>
      <w:r w:rsidR="00440583" w:rsidRPr="00346E1B">
        <w:rPr>
          <w:rFonts w:cs="Times New Roman"/>
          <w:bCs/>
          <w:szCs w:val="24"/>
        </w:rPr>
        <w:t>laintiff’s interest in property; (</w:t>
      </w:r>
      <w:r w:rsidR="00440583">
        <w:rPr>
          <w:rFonts w:cs="Times New Roman"/>
          <w:bCs/>
          <w:szCs w:val="24"/>
        </w:rPr>
        <w:t>ii</w:t>
      </w:r>
      <w:r w:rsidR="00440583" w:rsidRPr="00346E1B">
        <w:rPr>
          <w:rFonts w:cs="Times New Roman"/>
          <w:bCs/>
          <w:szCs w:val="24"/>
        </w:rPr>
        <w:t xml:space="preserve">) </w:t>
      </w:r>
      <w:r w:rsidR="00440583">
        <w:rPr>
          <w:rFonts w:cs="Times New Roman"/>
          <w:bCs/>
          <w:szCs w:val="24"/>
        </w:rPr>
        <w:t>d</w:t>
      </w:r>
      <w:r w:rsidR="00440583" w:rsidRPr="00346E1B">
        <w:rPr>
          <w:rFonts w:cs="Times New Roman"/>
          <w:bCs/>
          <w:szCs w:val="24"/>
        </w:rPr>
        <w:t xml:space="preserve">efendant’s creation of the nuisance; </w:t>
      </w:r>
      <w:r w:rsidR="00440583">
        <w:rPr>
          <w:rFonts w:cs="Times New Roman"/>
          <w:bCs/>
          <w:szCs w:val="24"/>
        </w:rPr>
        <w:t>(iii)</w:t>
      </w:r>
      <w:r w:rsidR="00440583" w:rsidRPr="00346E1B">
        <w:rPr>
          <w:rFonts w:cs="Times New Roman"/>
          <w:bCs/>
          <w:szCs w:val="24"/>
        </w:rPr>
        <w:t xml:space="preserve"> unreasonable interference with </w:t>
      </w:r>
      <w:r w:rsidR="00440583">
        <w:rPr>
          <w:rFonts w:cs="Times New Roman"/>
          <w:bCs/>
          <w:szCs w:val="24"/>
        </w:rPr>
        <w:t>p</w:t>
      </w:r>
      <w:r w:rsidR="00440583" w:rsidRPr="00346E1B">
        <w:rPr>
          <w:rFonts w:cs="Times New Roman"/>
          <w:bCs/>
          <w:szCs w:val="24"/>
        </w:rPr>
        <w:t>laintiff’s use or enjoyment of property; (</w:t>
      </w:r>
      <w:r w:rsidR="00440583">
        <w:rPr>
          <w:rFonts w:cs="Times New Roman"/>
          <w:bCs/>
          <w:szCs w:val="24"/>
        </w:rPr>
        <w:t>iv</w:t>
      </w:r>
      <w:r w:rsidR="00440583" w:rsidRPr="00346E1B">
        <w:rPr>
          <w:rFonts w:cs="Times New Roman"/>
          <w:bCs/>
          <w:szCs w:val="24"/>
        </w:rPr>
        <w:t>) causation; and (</w:t>
      </w:r>
      <w:r w:rsidR="00440583">
        <w:rPr>
          <w:rFonts w:cs="Times New Roman"/>
          <w:bCs/>
          <w:szCs w:val="24"/>
        </w:rPr>
        <w:t>v</w:t>
      </w:r>
      <w:r w:rsidR="00440583" w:rsidRPr="00346E1B">
        <w:rPr>
          <w:rFonts w:cs="Times New Roman"/>
          <w:bCs/>
          <w:szCs w:val="24"/>
        </w:rPr>
        <w:t xml:space="preserve">) damages. </w:t>
      </w:r>
      <w:r w:rsidR="00440583">
        <w:rPr>
          <w:rFonts w:cs="Times New Roman"/>
          <w:bCs/>
          <w:szCs w:val="24"/>
        </w:rPr>
        <w:t>(Civ. Code,</w:t>
      </w:r>
      <w:r w:rsidR="00440583" w:rsidRPr="00346E1B">
        <w:rPr>
          <w:rFonts w:cs="Times New Roman"/>
          <w:bCs/>
          <w:szCs w:val="24"/>
        </w:rPr>
        <w:t xml:space="preserve"> </w:t>
      </w:r>
      <w:r w:rsidR="00440583">
        <w:rPr>
          <w:rFonts w:cs="Times New Roman"/>
          <w:bCs/>
          <w:szCs w:val="24"/>
        </w:rPr>
        <w:t>§§</w:t>
      </w:r>
      <w:r w:rsidR="00440583" w:rsidRPr="00346E1B">
        <w:rPr>
          <w:rFonts w:cs="Times New Roman"/>
          <w:bCs/>
          <w:szCs w:val="24"/>
        </w:rPr>
        <w:t xml:space="preserve"> 3479, 3491</w:t>
      </w:r>
      <w:r w:rsidR="00440583">
        <w:rPr>
          <w:rFonts w:cs="Times New Roman"/>
          <w:bCs/>
          <w:szCs w:val="24"/>
        </w:rPr>
        <w:t xml:space="preserve">; </w:t>
      </w:r>
      <w:r w:rsidR="00440583" w:rsidRPr="00346E1B">
        <w:rPr>
          <w:rFonts w:cs="Times New Roman"/>
          <w:bCs/>
          <w:i/>
          <w:iCs/>
          <w:szCs w:val="24"/>
        </w:rPr>
        <w:t>San Diego Gas &amp; Electric Co. v. Sup. Ct.</w:t>
      </w:r>
      <w:r w:rsidR="00440583" w:rsidRPr="00346E1B">
        <w:rPr>
          <w:rFonts w:cs="Times New Roman"/>
          <w:bCs/>
          <w:szCs w:val="24"/>
        </w:rPr>
        <w:t xml:space="preserve"> (1996) 13 Cal.4th 893, 937.)</w:t>
      </w:r>
    </w:p>
    <w:p w14:paraId="18191667" w14:textId="77777777" w:rsidR="003F0E15" w:rsidRDefault="00440583" w:rsidP="000B74A2">
      <w:pPr>
        <w:spacing w:after="264"/>
        <w:ind w:left="1080" w:hanging="360"/>
        <w:rPr>
          <w:rFonts w:cs="Times New Roman"/>
          <w:bCs/>
          <w:szCs w:val="24"/>
        </w:rPr>
      </w:pPr>
      <w:r>
        <w:rPr>
          <w:rFonts w:cs="Times New Roman"/>
          <w:bCs/>
          <w:szCs w:val="24"/>
        </w:rPr>
        <w:lastRenderedPageBreak/>
        <w:t xml:space="preserve">—  </w:t>
      </w:r>
      <w:r w:rsidR="006F0E92">
        <w:rPr>
          <w:rFonts w:cs="Times New Roman"/>
          <w:bCs/>
          <w:szCs w:val="24"/>
        </w:rPr>
        <w:t>Simply put, a cause of action for private nuisance requires the plaintiff to prove that the defendant interfered with his or her use and enjoyment of the property. (</w:t>
      </w:r>
      <w:r w:rsidR="006F0E92" w:rsidRPr="006F0E92">
        <w:rPr>
          <w:rFonts w:cs="Times New Roman"/>
          <w:bCs/>
          <w:i/>
          <w:iCs/>
          <w:szCs w:val="24"/>
        </w:rPr>
        <w:t>Adams v. MHC Colony Park, L.P.</w:t>
      </w:r>
      <w:r w:rsidR="006F0E92">
        <w:rPr>
          <w:rFonts w:cs="Times New Roman"/>
          <w:bCs/>
          <w:szCs w:val="24"/>
        </w:rPr>
        <w:t xml:space="preserve"> (2014) 224 Cal.App.4th 601, 610; </w:t>
      </w:r>
      <w:r w:rsidR="006F0E92" w:rsidRPr="006F0E92">
        <w:rPr>
          <w:rFonts w:cs="Times New Roman"/>
          <w:bCs/>
          <w:i/>
          <w:iCs/>
          <w:szCs w:val="24"/>
        </w:rPr>
        <w:t>Monks v. City of Rancho Palos Verdes</w:t>
      </w:r>
      <w:r w:rsidR="006F0E92">
        <w:rPr>
          <w:rFonts w:cs="Times New Roman"/>
          <w:bCs/>
          <w:szCs w:val="24"/>
        </w:rPr>
        <w:t xml:space="preserve"> (2008) 167 Cal.App.4th 263, 302-303.)</w:t>
      </w:r>
    </w:p>
    <w:p w14:paraId="7FF8B99B" w14:textId="77777777" w:rsidR="003F0E15" w:rsidRDefault="00DF0E8F" w:rsidP="00DF0E8F">
      <w:pPr>
        <w:spacing w:after="264"/>
        <w:ind w:left="1080" w:hanging="360"/>
        <w:rPr>
          <w:rFonts w:cs="Times New Roman"/>
          <w:bCs/>
          <w:szCs w:val="24"/>
        </w:rPr>
      </w:pPr>
      <w:r>
        <w:rPr>
          <w:rFonts w:cs="Times New Roman"/>
          <w:bCs/>
          <w:szCs w:val="24"/>
        </w:rPr>
        <w:t xml:space="preserve">—  </w:t>
      </w:r>
      <w:r w:rsidRPr="00346E1B">
        <w:rPr>
          <w:rFonts w:cs="Times New Roman"/>
          <w:bCs/>
          <w:szCs w:val="24"/>
        </w:rPr>
        <w:t>A person’s unreasonable, unwarrantable, or unlawful use of his or her own property in a way that interferes with the rights of others is a nuisance. (</w:t>
      </w:r>
      <w:proofErr w:type="spellStart"/>
      <w:r w:rsidRPr="00346E1B">
        <w:rPr>
          <w:rFonts w:cs="Times New Roman"/>
          <w:bCs/>
          <w:i/>
          <w:iCs/>
          <w:szCs w:val="24"/>
        </w:rPr>
        <w:t>Hutcherseon</w:t>
      </w:r>
      <w:proofErr w:type="spellEnd"/>
      <w:r w:rsidRPr="00346E1B">
        <w:rPr>
          <w:rFonts w:cs="Times New Roman"/>
          <w:bCs/>
          <w:i/>
          <w:iCs/>
          <w:szCs w:val="24"/>
        </w:rPr>
        <w:t xml:space="preserve"> v. Alexander</w:t>
      </w:r>
      <w:r w:rsidRPr="00346E1B">
        <w:rPr>
          <w:rFonts w:cs="Times New Roman"/>
          <w:bCs/>
          <w:szCs w:val="24"/>
        </w:rPr>
        <w:t xml:space="preserve"> (1968) 264 CA2d 126.)</w:t>
      </w:r>
      <w:r>
        <w:rPr>
          <w:rFonts w:cs="Times New Roman"/>
          <w:bCs/>
          <w:szCs w:val="24"/>
        </w:rPr>
        <w:t xml:space="preserve"> </w:t>
      </w:r>
    </w:p>
    <w:p w14:paraId="7828B8C1" w14:textId="77777777" w:rsidR="003F0E15" w:rsidRDefault="00DF0E8F" w:rsidP="00DF0E8F">
      <w:pPr>
        <w:spacing w:after="264"/>
        <w:ind w:left="1080" w:hanging="360"/>
        <w:rPr>
          <w:rFonts w:cs="Times New Roman"/>
          <w:bCs/>
          <w:szCs w:val="24"/>
        </w:rPr>
      </w:pPr>
      <w:r>
        <w:rPr>
          <w:rFonts w:cs="Times New Roman"/>
          <w:bCs/>
          <w:szCs w:val="24"/>
        </w:rPr>
        <w:t xml:space="preserve">—  </w:t>
      </w:r>
      <w:r w:rsidRPr="009A7630">
        <w:rPr>
          <w:rFonts w:cs="Times New Roman"/>
          <w:bCs/>
          <w:szCs w:val="24"/>
        </w:rPr>
        <w:t xml:space="preserve">A nuisance occurs where the invasion of the property of another is intentional and unreasonable, or is unintentional but caused by negligent or reckless conduct, or is from </w:t>
      </w:r>
      <w:r>
        <w:rPr>
          <w:rFonts w:cs="Times New Roman"/>
          <w:bCs/>
          <w:szCs w:val="24"/>
        </w:rPr>
        <w:t xml:space="preserve">an </w:t>
      </w:r>
      <w:r w:rsidRPr="009A7630">
        <w:rPr>
          <w:rFonts w:cs="Times New Roman"/>
          <w:bCs/>
          <w:szCs w:val="24"/>
        </w:rPr>
        <w:t xml:space="preserve">abnormally dangerous activity. An </w:t>
      </w:r>
      <w:r w:rsidRPr="009A7630">
        <w:rPr>
          <w:rFonts w:cs="Times New Roman"/>
          <w:bCs/>
          <w:i/>
          <w:iCs/>
          <w:szCs w:val="24"/>
        </w:rPr>
        <w:t>intentional</w:t>
      </w:r>
      <w:r w:rsidRPr="009A7630">
        <w:rPr>
          <w:rFonts w:cs="Times New Roman"/>
          <w:bCs/>
          <w:szCs w:val="24"/>
        </w:rPr>
        <w:t xml:space="preserve"> nuisance requires proof of malice or actual knowledge that harm was substantially certain to follow from the activity. The conduct is not a nuisance if it is intentional but reasonable, or is accidental and not within one of the above definitions of a nuisance. Where negligence and nuisance causes of action rely on the same facts dealing with lack of due care, the nuisance claim is a negligence claim</w:t>
      </w:r>
      <w:r>
        <w:rPr>
          <w:rFonts w:cs="Times New Roman"/>
          <w:bCs/>
          <w:szCs w:val="24"/>
        </w:rPr>
        <w:t xml:space="preserve">. </w:t>
      </w:r>
    </w:p>
    <w:p w14:paraId="5E6EF450" w14:textId="77777777" w:rsidR="003F0E15" w:rsidRDefault="00365B91" w:rsidP="000B74A2">
      <w:pPr>
        <w:spacing w:after="264"/>
        <w:ind w:left="1080" w:hanging="360"/>
        <w:rPr>
          <w:rFonts w:cs="Times New Roman"/>
          <w:bCs/>
          <w:szCs w:val="24"/>
        </w:rPr>
      </w:pPr>
      <w:r>
        <w:rPr>
          <w:rFonts w:cs="Times New Roman"/>
          <w:bCs/>
          <w:szCs w:val="24"/>
        </w:rPr>
        <w:t xml:space="preserve">—  If the interference is substantial </w:t>
      </w:r>
      <w:r>
        <w:rPr>
          <w:rFonts w:cs="Times New Roman"/>
          <w:bCs/>
          <w:i/>
          <w:iCs/>
          <w:szCs w:val="24"/>
        </w:rPr>
        <w:t>and</w:t>
      </w:r>
      <w:r>
        <w:rPr>
          <w:rFonts w:cs="Times New Roman"/>
          <w:bCs/>
          <w:szCs w:val="24"/>
        </w:rPr>
        <w:t xml:space="preserve"> unreasonable (so much so that it would be offensive or inconvenient to the “normal” person), then almost any disturbance of the enjoyment of someone’s property could constitute a nuisance. (</w:t>
      </w:r>
      <w:r w:rsidRPr="006F0E92">
        <w:rPr>
          <w:rFonts w:cs="Times New Roman"/>
          <w:bCs/>
          <w:i/>
          <w:iCs/>
          <w:szCs w:val="24"/>
        </w:rPr>
        <w:t>Monks v. City of Rancho Palos Verdes</w:t>
      </w:r>
      <w:r>
        <w:rPr>
          <w:rFonts w:cs="Times New Roman"/>
          <w:bCs/>
          <w:szCs w:val="24"/>
        </w:rPr>
        <w:t xml:space="preserve"> (2008) 167 Cal.App.4th 263, 302-303 citing </w:t>
      </w:r>
      <w:r>
        <w:rPr>
          <w:rFonts w:cs="Times New Roman"/>
          <w:bCs/>
          <w:i/>
          <w:iCs/>
          <w:szCs w:val="24"/>
        </w:rPr>
        <w:t>Koll-Irvine Center Property Owners Assn v. County of Orange</w:t>
      </w:r>
      <w:r>
        <w:rPr>
          <w:rFonts w:cs="Times New Roman"/>
          <w:bCs/>
          <w:szCs w:val="24"/>
        </w:rPr>
        <w:t xml:space="preserve"> (1994) 24 Cal.App.4th 1036, 1041 [“a</w:t>
      </w:r>
      <w:r w:rsidRPr="00365B91">
        <w:rPr>
          <w:rFonts w:cs="Times New Roman"/>
          <w:bCs/>
          <w:szCs w:val="24"/>
        </w:rPr>
        <w:t>n interference need not directly damage the land or prevent its use to constitute a nuisance; private plaintiffs have successfully maintained nuisance actions against airports for interferences caused by noise, smoke and vibrations from flights over their homes ... and against a sewage treatment plant for interference caused by noxious odors....”</w:t>
      </w:r>
      <w:r>
        <w:rPr>
          <w:rFonts w:cs="Times New Roman"/>
          <w:bCs/>
          <w:szCs w:val="24"/>
        </w:rPr>
        <w:t>].)</w:t>
      </w:r>
    </w:p>
    <w:p w14:paraId="3EEFD971" w14:textId="77777777" w:rsidR="003F0E15" w:rsidRDefault="00693188" w:rsidP="000B74A2">
      <w:pPr>
        <w:spacing w:after="264"/>
        <w:ind w:left="1080" w:hanging="360"/>
        <w:rPr>
          <w:rFonts w:cs="Times New Roman"/>
          <w:bCs/>
          <w:szCs w:val="24"/>
        </w:rPr>
      </w:pPr>
      <w:r>
        <w:rPr>
          <w:rFonts w:cs="Times New Roman"/>
          <w:bCs/>
          <w:szCs w:val="24"/>
        </w:rPr>
        <w:t xml:space="preserve">—  </w:t>
      </w:r>
      <w:r w:rsidR="00440583" w:rsidRPr="00440583">
        <w:rPr>
          <w:rFonts w:cs="Times New Roman"/>
          <w:bCs/>
          <w:szCs w:val="24"/>
        </w:rPr>
        <w:t>Nuisances are characterized as either permanent or continuing. The nature of the claim and available damages are different for either type of nuisance. The crucial distinction between a permanent and continuing nuisance is whether the nuisance is abatable—i.e.</w:t>
      </w:r>
      <w:r w:rsidR="00440583">
        <w:rPr>
          <w:rFonts w:cs="Times New Roman"/>
          <w:bCs/>
          <w:szCs w:val="24"/>
        </w:rPr>
        <w:t>,</w:t>
      </w:r>
      <w:r w:rsidR="00440583" w:rsidRPr="00440583">
        <w:rPr>
          <w:rFonts w:cs="Times New Roman"/>
          <w:bCs/>
          <w:szCs w:val="24"/>
        </w:rPr>
        <w:t xml:space="preserve"> capable of being remedied at reasonable cost and by reasonable means. (See </w:t>
      </w:r>
      <w:r w:rsidR="00440583" w:rsidRPr="00440583">
        <w:rPr>
          <w:rFonts w:cs="Times New Roman"/>
          <w:bCs/>
          <w:i/>
          <w:iCs/>
          <w:szCs w:val="24"/>
        </w:rPr>
        <w:t>Mangini v. Aerojet-General Corp.</w:t>
      </w:r>
      <w:r w:rsidR="00440583" w:rsidRPr="00440583">
        <w:rPr>
          <w:rFonts w:cs="Times New Roman"/>
          <w:bCs/>
          <w:szCs w:val="24"/>
        </w:rPr>
        <w:t xml:space="preserve"> (1996) 12 Cal.4th 1087, 1093; </w:t>
      </w:r>
      <w:r w:rsidR="00440583" w:rsidRPr="00440583">
        <w:rPr>
          <w:rFonts w:cs="Times New Roman"/>
          <w:bCs/>
          <w:i/>
          <w:iCs/>
          <w:szCs w:val="24"/>
        </w:rPr>
        <w:t>McCoy v. Gustafson</w:t>
      </w:r>
      <w:r w:rsidR="00440583" w:rsidRPr="00440583">
        <w:rPr>
          <w:rFonts w:cs="Times New Roman"/>
          <w:bCs/>
          <w:szCs w:val="24"/>
        </w:rPr>
        <w:t xml:space="preserve"> (2009) 180 Cal.App.4th 56, 84.)</w:t>
      </w:r>
    </w:p>
    <w:p w14:paraId="467BD6E3" w14:textId="77777777" w:rsidR="003F0E15" w:rsidRDefault="002B6C02" w:rsidP="000B74A2">
      <w:pPr>
        <w:spacing w:after="264"/>
        <w:ind w:left="1080" w:hanging="360"/>
        <w:rPr>
          <w:rFonts w:cs="Times New Roman"/>
          <w:szCs w:val="24"/>
        </w:rPr>
      </w:pPr>
      <w:r>
        <w:rPr>
          <w:rFonts w:cs="Times New Roman"/>
          <w:bCs/>
          <w:szCs w:val="24"/>
        </w:rPr>
        <w:t>—  The “failure to maintain” issue discussed in the context of the “Breach of CC&amp;Rs” and “Negligence” causes of action above is also applicable in the context of a nuisance claim.</w:t>
      </w:r>
    </w:p>
    <w:p w14:paraId="224AFD01" w14:textId="351D582F" w:rsidR="003F0E15" w:rsidRDefault="005A6F4A" w:rsidP="005A6F4A">
      <w:pPr>
        <w:spacing w:after="264"/>
        <w:ind w:left="1080" w:hanging="360"/>
        <w:rPr>
          <w:rFonts w:cs="Times New Roman"/>
          <w:bCs/>
          <w:szCs w:val="24"/>
        </w:rPr>
      </w:pPr>
      <w:r w:rsidRPr="007E2199">
        <w:rPr>
          <w:rFonts w:cs="Times New Roman"/>
          <w:bCs/>
          <w:szCs w:val="24"/>
        </w:rPr>
        <w:t xml:space="preserve">—  </w:t>
      </w:r>
      <w:r w:rsidRPr="005A6F4A">
        <w:rPr>
          <w:rFonts w:cs="Times New Roman"/>
          <w:bCs/>
          <w:szCs w:val="24"/>
        </w:rPr>
        <w:t xml:space="preserve">Nuisance v. Trespass. </w:t>
      </w:r>
      <w:r w:rsidR="00F5483D" w:rsidRPr="005A6F4A">
        <w:rPr>
          <w:rFonts w:cs="Times New Roman"/>
          <w:bCs/>
          <w:szCs w:val="24"/>
        </w:rPr>
        <w:t xml:space="preserve">Nuisance is based on a property’s owner’s use of his or her own property in a way that adversely affects other property owners. Typical examples of a nuisance include things like </w:t>
      </w:r>
      <w:r w:rsidR="00F5483D" w:rsidRPr="005A6F4A">
        <w:rPr>
          <w:rFonts w:cs="Times New Roman"/>
          <w:bCs/>
          <w:szCs w:val="24"/>
        </w:rPr>
        <w:lastRenderedPageBreak/>
        <w:t>excessive noise, vibration, odors, etc.</w:t>
      </w:r>
      <w:r w:rsidR="00F5483D">
        <w:rPr>
          <w:rFonts w:cs="Times New Roman"/>
          <w:bCs/>
          <w:szCs w:val="24"/>
        </w:rPr>
        <w:t xml:space="preserve"> </w:t>
      </w:r>
      <w:r w:rsidRPr="005A6F4A">
        <w:rPr>
          <w:rFonts w:cs="Times New Roman"/>
          <w:bCs/>
          <w:szCs w:val="24"/>
        </w:rPr>
        <w:t xml:space="preserve">Trespass refers to a physical invasion of property, either by persons entering the property, or a substance that is dumped, has drained onto, or under the property (e.g., drainage, toxic spills, etc.), or the encroachment of a physical object, such as a structure built over a property line. </w:t>
      </w:r>
    </w:p>
    <w:p w14:paraId="6718BCD9"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33904ED5" w14:textId="77777777" w:rsidR="003F0E15" w:rsidRDefault="00805A7D" w:rsidP="00805A7D">
      <w:pPr>
        <w:spacing w:after="264"/>
        <w:ind w:left="1080" w:hanging="360"/>
        <w:rPr>
          <w:rFonts w:cs="Times New Roman"/>
          <w:bCs/>
          <w:szCs w:val="24"/>
        </w:rPr>
      </w:pPr>
      <w:r>
        <w:rPr>
          <w:rFonts w:cs="Times New Roman"/>
          <w:bCs/>
          <w:szCs w:val="24"/>
        </w:rPr>
        <w:t xml:space="preserve">—  </w:t>
      </w:r>
      <w:r w:rsidR="0033652F">
        <w:rPr>
          <w:rFonts w:cs="Times New Roman"/>
          <w:bCs/>
          <w:szCs w:val="24"/>
        </w:rPr>
        <w:t xml:space="preserve">Remedies are different, depending upon whether the nuisance is </w:t>
      </w:r>
      <w:r w:rsidR="0033652F">
        <w:rPr>
          <w:rFonts w:cs="Times New Roman"/>
          <w:bCs/>
          <w:i/>
          <w:iCs/>
          <w:szCs w:val="24"/>
        </w:rPr>
        <w:t>permanent</w:t>
      </w:r>
      <w:r w:rsidR="00244118">
        <w:rPr>
          <w:rFonts w:cs="Times New Roman"/>
          <w:bCs/>
          <w:szCs w:val="24"/>
        </w:rPr>
        <w:t xml:space="preserve"> or </w:t>
      </w:r>
      <w:r w:rsidR="00244118">
        <w:rPr>
          <w:rFonts w:cs="Times New Roman"/>
          <w:bCs/>
          <w:i/>
          <w:iCs/>
          <w:szCs w:val="24"/>
        </w:rPr>
        <w:t>continuing</w:t>
      </w:r>
      <w:r w:rsidR="00244118">
        <w:rPr>
          <w:rFonts w:cs="Times New Roman"/>
          <w:bCs/>
          <w:szCs w:val="24"/>
        </w:rPr>
        <w:t>.</w:t>
      </w:r>
    </w:p>
    <w:p w14:paraId="577CE4E3" w14:textId="77777777" w:rsidR="003F0E15" w:rsidRDefault="0033652F" w:rsidP="0033652F">
      <w:pPr>
        <w:spacing w:after="264"/>
        <w:ind w:left="1350" w:hanging="270"/>
        <w:rPr>
          <w:rFonts w:cs="Times New Roman"/>
          <w:bCs/>
          <w:szCs w:val="24"/>
        </w:rPr>
      </w:pPr>
      <w:r>
        <w:rPr>
          <w:rFonts w:cs="Times New Roman"/>
          <w:bCs/>
          <w:szCs w:val="24"/>
        </w:rPr>
        <w:t xml:space="preserve">•   For </w:t>
      </w:r>
      <w:r w:rsidRPr="00244118">
        <w:rPr>
          <w:rFonts w:cs="Times New Roman"/>
          <w:bCs/>
          <w:i/>
          <w:iCs/>
          <w:szCs w:val="24"/>
        </w:rPr>
        <w:t>permanent</w:t>
      </w:r>
      <w:r>
        <w:rPr>
          <w:rFonts w:cs="Times New Roman"/>
          <w:bCs/>
          <w:szCs w:val="24"/>
        </w:rPr>
        <w:t xml:space="preserve"> nuisances, </w:t>
      </w:r>
      <w:r w:rsidR="00905151">
        <w:rPr>
          <w:rFonts w:cs="Times New Roman"/>
          <w:bCs/>
          <w:szCs w:val="24"/>
        </w:rPr>
        <w:t>compensatory (money) damages</w:t>
      </w:r>
      <w:r>
        <w:rPr>
          <w:rFonts w:cs="Times New Roman"/>
          <w:bCs/>
          <w:szCs w:val="24"/>
        </w:rPr>
        <w:t xml:space="preserve"> are available. </w:t>
      </w:r>
      <w:r w:rsidRPr="0033652F">
        <w:rPr>
          <w:rFonts w:cs="Times New Roman"/>
          <w:bCs/>
          <w:szCs w:val="24"/>
        </w:rPr>
        <w:t xml:space="preserve">The usual measure of </w:t>
      </w:r>
      <w:r>
        <w:rPr>
          <w:rFonts w:cs="Times New Roman"/>
          <w:bCs/>
          <w:szCs w:val="24"/>
        </w:rPr>
        <w:t xml:space="preserve">such </w:t>
      </w:r>
      <w:r w:rsidRPr="0033652F">
        <w:rPr>
          <w:rFonts w:cs="Times New Roman"/>
          <w:bCs/>
          <w:szCs w:val="24"/>
        </w:rPr>
        <w:t xml:space="preserve">damages is the diminution </w:t>
      </w:r>
      <w:r>
        <w:rPr>
          <w:rFonts w:cs="Times New Roman"/>
          <w:bCs/>
          <w:szCs w:val="24"/>
        </w:rPr>
        <w:t>in fair market value of the affected property. (</w:t>
      </w:r>
      <w:r w:rsidRPr="0033652F">
        <w:rPr>
          <w:rFonts w:cs="Times New Roman"/>
          <w:bCs/>
          <w:i/>
          <w:iCs/>
          <w:szCs w:val="24"/>
        </w:rPr>
        <w:t>Varjabedian v. City of Madera</w:t>
      </w:r>
      <w:r w:rsidRPr="0033652F">
        <w:rPr>
          <w:rFonts w:cs="Times New Roman"/>
          <w:bCs/>
          <w:szCs w:val="24"/>
        </w:rPr>
        <w:t xml:space="preserve"> (1977) 20 Cal.3d 285, 292</w:t>
      </w:r>
      <w:r>
        <w:rPr>
          <w:rFonts w:cs="Times New Roman"/>
          <w:bCs/>
          <w:szCs w:val="24"/>
        </w:rPr>
        <w:t xml:space="preserve"> [j</w:t>
      </w:r>
      <w:r w:rsidRPr="0033652F">
        <w:rPr>
          <w:rFonts w:cs="Times New Roman"/>
          <w:bCs/>
          <w:szCs w:val="24"/>
        </w:rPr>
        <w:t xml:space="preserve">ury decides </w:t>
      </w:r>
      <w:r>
        <w:rPr>
          <w:rFonts w:cs="Times New Roman"/>
          <w:bCs/>
          <w:szCs w:val="24"/>
        </w:rPr>
        <w:t xml:space="preserve">fair </w:t>
      </w:r>
      <w:r w:rsidRPr="0033652F">
        <w:rPr>
          <w:rFonts w:cs="Times New Roman"/>
          <w:bCs/>
          <w:szCs w:val="24"/>
        </w:rPr>
        <w:t>market value before and after creation of nuisance</w:t>
      </w:r>
      <w:r>
        <w:rPr>
          <w:rFonts w:cs="Times New Roman"/>
          <w:bCs/>
          <w:szCs w:val="24"/>
        </w:rPr>
        <w:t>]</w:t>
      </w:r>
      <w:r w:rsidRPr="0033652F">
        <w:rPr>
          <w:rFonts w:cs="Times New Roman"/>
          <w:bCs/>
          <w:szCs w:val="24"/>
        </w:rPr>
        <w:t>.) A plaintiff may also recover the present value of losses or expenses he or she may, with reasonable certainty, incur in the future because of the nuisance.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Pr="0033652F">
        <w:rPr>
          <w:rFonts w:cs="Times New Roman"/>
          <w:bCs/>
          <w:szCs w:val="24"/>
        </w:rPr>
        <w:t xml:space="preserve"> 295.) A plaintiff must recover all past, present, and future damages in one suit. (</w:t>
      </w:r>
      <w:proofErr w:type="spellStart"/>
      <w:r w:rsidRPr="0033652F">
        <w:rPr>
          <w:rFonts w:cs="Times New Roman"/>
          <w:bCs/>
          <w:i/>
          <w:iCs/>
          <w:szCs w:val="24"/>
        </w:rPr>
        <w:t>Kornoff</w:t>
      </w:r>
      <w:proofErr w:type="spellEnd"/>
      <w:r w:rsidRPr="0033652F">
        <w:rPr>
          <w:rFonts w:cs="Times New Roman"/>
          <w:bCs/>
          <w:i/>
          <w:iCs/>
          <w:szCs w:val="24"/>
        </w:rPr>
        <w:t xml:space="preserve"> v. Kingsburg Cotton Oil Co.</w:t>
      </w:r>
      <w:r w:rsidRPr="0033652F">
        <w:rPr>
          <w:rFonts w:cs="Times New Roman"/>
          <w:bCs/>
          <w:szCs w:val="24"/>
        </w:rPr>
        <w:t xml:space="preserve"> (1955) 45 Cal.2d 265, 271-272.)</w:t>
      </w:r>
    </w:p>
    <w:p w14:paraId="70C6D3E5" w14:textId="77777777" w:rsidR="003F0E15" w:rsidRDefault="00244118" w:rsidP="0033652F">
      <w:pPr>
        <w:spacing w:after="264"/>
        <w:ind w:left="1350" w:hanging="270"/>
        <w:rPr>
          <w:rFonts w:cs="Times New Roman"/>
          <w:bCs/>
          <w:szCs w:val="24"/>
        </w:rPr>
      </w:pPr>
      <w:r>
        <w:rPr>
          <w:rFonts w:cs="Times New Roman"/>
          <w:bCs/>
          <w:szCs w:val="24"/>
        </w:rPr>
        <w:t xml:space="preserve">•   </w:t>
      </w:r>
      <w:r w:rsidRPr="00244118">
        <w:rPr>
          <w:rFonts w:cs="Times New Roman"/>
          <w:bCs/>
          <w:szCs w:val="24"/>
        </w:rPr>
        <w:t xml:space="preserve">For </w:t>
      </w:r>
      <w:r w:rsidRPr="00244118">
        <w:rPr>
          <w:rFonts w:cs="Times New Roman"/>
          <w:bCs/>
          <w:i/>
          <w:iCs/>
          <w:szCs w:val="24"/>
        </w:rPr>
        <w:t>continuing</w:t>
      </w:r>
      <w:r w:rsidRPr="00244118">
        <w:rPr>
          <w:rFonts w:cs="Times New Roman"/>
          <w:bCs/>
          <w:szCs w:val="24"/>
        </w:rPr>
        <w:t xml:space="preserve"> nuisances, the </w:t>
      </w:r>
      <w:r w:rsidR="00905151">
        <w:rPr>
          <w:rFonts w:cs="Times New Roman"/>
          <w:bCs/>
          <w:szCs w:val="24"/>
        </w:rPr>
        <w:t>compensatory (money) damages</w:t>
      </w:r>
      <w:r w:rsidRPr="00244118">
        <w:rPr>
          <w:rFonts w:cs="Times New Roman"/>
          <w:bCs/>
          <w:szCs w:val="24"/>
        </w:rPr>
        <w:t xml:space="preserve"> are different. A plaintiff can only recover actual damages </w:t>
      </w:r>
      <w:r w:rsidR="00586698" w:rsidRPr="00586698">
        <w:rPr>
          <w:rFonts w:cs="Times New Roman"/>
          <w:bCs/>
          <w:i/>
          <w:iCs/>
          <w:szCs w:val="24"/>
        </w:rPr>
        <w:t>through</w:t>
      </w:r>
      <w:r w:rsidRPr="00586698">
        <w:rPr>
          <w:rFonts w:cs="Times New Roman"/>
          <w:bCs/>
          <w:i/>
          <w:iCs/>
          <w:szCs w:val="24"/>
        </w:rPr>
        <w:t xml:space="preserve"> the date of the suit</w:t>
      </w:r>
      <w:r w:rsidR="00586698">
        <w:rPr>
          <w:rFonts w:cs="Times New Roman"/>
          <w:bCs/>
          <w:szCs w:val="24"/>
        </w:rPr>
        <w:t xml:space="preserve"> (i.e., plaintiff cannot recover damages for diminution in value) because there is no certainty the nuisance will continue. The rational for that is apparently that </w:t>
      </w:r>
      <w:r w:rsidR="00586698" w:rsidRPr="00244118">
        <w:rPr>
          <w:rFonts w:cs="Times New Roman"/>
          <w:bCs/>
          <w:szCs w:val="24"/>
        </w:rPr>
        <w:t xml:space="preserve">if </w:t>
      </w:r>
      <w:r w:rsidR="00586698">
        <w:rPr>
          <w:rFonts w:cs="Times New Roman"/>
          <w:bCs/>
          <w:szCs w:val="24"/>
        </w:rPr>
        <w:t xml:space="preserve">the </w:t>
      </w:r>
      <w:r w:rsidR="00586698" w:rsidRPr="00244118">
        <w:rPr>
          <w:rFonts w:cs="Times New Roman"/>
          <w:bCs/>
          <w:szCs w:val="24"/>
        </w:rPr>
        <w:t xml:space="preserve">defendant is willing and able to abate the nuisance, it is unfair to award damages on the theory </w:t>
      </w:r>
      <w:r w:rsidR="00586698">
        <w:rPr>
          <w:rFonts w:cs="Times New Roman"/>
          <w:bCs/>
          <w:szCs w:val="24"/>
        </w:rPr>
        <w:t xml:space="preserve">that </w:t>
      </w:r>
      <w:r w:rsidR="00586698" w:rsidRPr="00244118">
        <w:rPr>
          <w:rFonts w:cs="Times New Roman"/>
          <w:bCs/>
          <w:szCs w:val="24"/>
        </w:rPr>
        <w:t>the nuisance will continue. (</w:t>
      </w:r>
      <w:r w:rsidR="00586698" w:rsidRPr="00586698">
        <w:rPr>
          <w:rFonts w:cs="Times New Roman"/>
          <w:bCs/>
          <w:i/>
          <w:iCs/>
          <w:szCs w:val="24"/>
        </w:rPr>
        <w:t>Gehr v. Baker Hughes Oil Field Operations Inc.</w:t>
      </w:r>
      <w:r w:rsidR="00586698" w:rsidRPr="00244118">
        <w:rPr>
          <w:rFonts w:cs="Times New Roman"/>
          <w:bCs/>
          <w:szCs w:val="24"/>
        </w:rPr>
        <w:t xml:space="preserve"> (2008) 165 Cal.App.4th 660, 668.)</w:t>
      </w:r>
      <w:r w:rsidR="00586698">
        <w:rPr>
          <w:rFonts w:cs="Times New Roman"/>
          <w:bCs/>
          <w:szCs w:val="24"/>
        </w:rPr>
        <w:t xml:space="preserve"> Which leads to the most common remedy for ongoing nuisances—abatement. </w:t>
      </w:r>
      <w:r w:rsidRPr="00244118">
        <w:rPr>
          <w:rFonts w:cs="Times New Roman"/>
          <w:bCs/>
          <w:szCs w:val="24"/>
        </w:rPr>
        <w:t>A continuing nuisance is ongoing and can be abated at any time via injunction. (</w:t>
      </w:r>
      <w:r w:rsidRPr="00586698">
        <w:rPr>
          <w:rFonts w:cs="Times New Roman"/>
          <w:bCs/>
          <w:i/>
          <w:iCs/>
          <w:szCs w:val="24"/>
        </w:rPr>
        <w:t>Baker v. Burbank-Glendale-Pasadena Airport Auth.</w:t>
      </w:r>
      <w:r w:rsidRPr="00244118">
        <w:rPr>
          <w:rFonts w:cs="Times New Roman"/>
          <w:bCs/>
          <w:szCs w:val="24"/>
        </w:rPr>
        <w:t xml:space="preserve"> (1985) 39 Cal.3d 862, 868-871.) </w:t>
      </w:r>
    </w:p>
    <w:p w14:paraId="41946AB3" w14:textId="77777777" w:rsidR="003F0E15" w:rsidRDefault="00393294" w:rsidP="00393294">
      <w:pPr>
        <w:spacing w:after="264"/>
        <w:ind w:left="1080" w:hanging="360"/>
        <w:rPr>
          <w:rFonts w:cs="Times New Roman"/>
          <w:bCs/>
          <w:szCs w:val="24"/>
        </w:rPr>
      </w:pPr>
      <w:r>
        <w:rPr>
          <w:rFonts w:cs="Times New Roman"/>
          <w:bCs/>
          <w:szCs w:val="24"/>
        </w:rPr>
        <w:t xml:space="preserve">—  </w:t>
      </w:r>
      <w:bookmarkStart w:id="16" w:name="_Hlk40938318"/>
      <w:r>
        <w:rPr>
          <w:rFonts w:cs="Times New Roman"/>
          <w:bCs/>
          <w:szCs w:val="24"/>
        </w:rPr>
        <w:t xml:space="preserve">Emotional distress damages are also a possibility. (See </w:t>
      </w:r>
      <w:proofErr w:type="spellStart"/>
      <w:r w:rsidRPr="00393294">
        <w:rPr>
          <w:rFonts w:cs="Times New Roman"/>
          <w:bCs/>
          <w:i/>
          <w:iCs/>
          <w:szCs w:val="24"/>
        </w:rPr>
        <w:t>Kornoff</w:t>
      </w:r>
      <w:proofErr w:type="spellEnd"/>
      <w:r w:rsidRPr="00393294">
        <w:rPr>
          <w:rFonts w:cs="Times New Roman"/>
          <w:bCs/>
          <w:i/>
          <w:iCs/>
          <w:szCs w:val="24"/>
        </w:rPr>
        <w:t xml:space="preserve"> v. Kingsburg Cotton Oil Co.</w:t>
      </w:r>
      <w:r>
        <w:rPr>
          <w:rFonts w:cs="Times New Roman"/>
          <w:bCs/>
          <w:szCs w:val="24"/>
        </w:rPr>
        <w:t xml:space="preserve">, </w:t>
      </w:r>
      <w:r>
        <w:rPr>
          <w:rFonts w:cs="Times New Roman"/>
          <w:bCs/>
          <w:i/>
          <w:iCs/>
          <w:szCs w:val="24"/>
        </w:rPr>
        <w:t>supra</w:t>
      </w:r>
      <w:r>
        <w:rPr>
          <w:rFonts w:cs="Times New Roman"/>
          <w:bCs/>
          <w:szCs w:val="24"/>
        </w:rPr>
        <w:t>, 45 Cal.</w:t>
      </w:r>
      <w:r w:rsidRPr="00393294">
        <w:rPr>
          <w:rFonts w:cs="Times New Roman"/>
          <w:bCs/>
          <w:szCs w:val="24"/>
        </w:rPr>
        <w:t xml:space="preserve">2d </w:t>
      </w:r>
      <w:r>
        <w:rPr>
          <w:rFonts w:cs="Times New Roman"/>
          <w:bCs/>
          <w:szCs w:val="24"/>
        </w:rPr>
        <w:t>at</w:t>
      </w:r>
      <w:r w:rsidRPr="00393294">
        <w:rPr>
          <w:rFonts w:cs="Times New Roman"/>
          <w:bCs/>
          <w:szCs w:val="24"/>
        </w:rPr>
        <w:t xml:space="preserve"> 272; </w:t>
      </w:r>
      <w:r w:rsidRPr="00393294">
        <w:rPr>
          <w:rFonts w:cs="Times New Roman"/>
          <w:bCs/>
          <w:i/>
          <w:iCs/>
          <w:szCs w:val="24"/>
        </w:rPr>
        <w:t>Potter v. Firestone Tire &amp; Rubber Co.</w:t>
      </w:r>
      <w:r w:rsidRPr="00393294">
        <w:rPr>
          <w:rFonts w:cs="Times New Roman"/>
          <w:bCs/>
          <w:szCs w:val="24"/>
        </w:rPr>
        <w:t xml:space="preserve"> (1993) 6 Cal.4th 965, 986, fn.10</w:t>
      </w:r>
      <w:bookmarkEnd w:id="16"/>
      <w:r>
        <w:rPr>
          <w:rFonts w:cs="Times New Roman"/>
          <w:bCs/>
          <w:szCs w:val="24"/>
        </w:rPr>
        <w:t xml:space="preserve">; </w:t>
      </w:r>
      <w:r w:rsidRPr="00393294">
        <w:rPr>
          <w:rFonts w:cs="Times New Roman"/>
          <w:bCs/>
          <w:i/>
          <w:iCs/>
          <w:szCs w:val="24"/>
        </w:rPr>
        <w:t>Smith v. County of Los Angeles</w:t>
      </w:r>
      <w:r w:rsidRPr="00393294">
        <w:rPr>
          <w:rFonts w:cs="Times New Roman"/>
          <w:bCs/>
          <w:szCs w:val="24"/>
        </w:rPr>
        <w:t xml:space="preserve"> (1989) 214 Cal.App.3d 266, 287-288</w:t>
      </w:r>
      <w:r>
        <w:rPr>
          <w:rFonts w:cs="Times New Roman"/>
          <w:bCs/>
          <w:szCs w:val="24"/>
        </w:rPr>
        <w:t xml:space="preserve">; </w:t>
      </w:r>
      <w:r w:rsidRPr="00393294">
        <w:rPr>
          <w:rFonts w:cs="Times New Roman"/>
          <w:bCs/>
          <w:i/>
          <w:iCs/>
          <w:szCs w:val="24"/>
        </w:rPr>
        <w:t>City of San Jose v. Superior Court</w:t>
      </w:r>
      <w:r w:rsidRPr="00393294">
        <w:rPr>
          <w:rFonts w:cs="Times New Roman"/>
          <w:bCs/>
          <w:szCs w:val="24"/>
        </w:rPr>
        <w:t xml:space="preserve"> (1974) 12 Cal.3d 447, 464</w:t>
      </w:r>
      <w:r>
        <w:rPr>
          <w:rFonts w:cs="Times New Roman"/>
          <w:bCs/>
          <w:szCs w:val="24"/>
        </w:rPr>
        <w:t xml:space="preserve"> [d</w:t>
      </w:r>
      <w:r w:rsidRPr="00393294">
        <w:rPr>
          <w:rFonts w:cs="Times New Roman"/>
          <w:bCs/>
          <w:szCs w:val="24"/>
        </w:rPr>
        <w:t>amages recoverable in a successful nuisance action for injuries to real property include not only diminution in market value but also damages for annoyance, inconvenience, and discomfort</w:t>
      </w:r>
      <w:r>
        <w:rPr>
          <w:rFonts w:cs="Times New Roman"/>
          <w:bCs/>
          <w:szCs w:val="24"/>
        </w:rPr>
        <w:t xml:space="preserve">].) </w:t>
      </w:r>
      <w:r w:rsidRPr="00393294">
        <w:rPr>
          <w:rFonts w:cs="Times New Roman"/>
          <w:bCs/>
          <w:szCs w:val="24"/>
        </w:rPr>
        <w:t xml:space="preserve">Mental distress </w:t>
      </w:r>
      <w:r w:rsidR="00B14A63">
        <w:rPr>
          <w:rFonts w:cs="Times New Roman"/>
          <w:bCs/>
          <w:szCs w:val="24"/>
        </w:rPr>
        <w:t>is a</w:t>
      </w:r>
      <w:r w:rsidRPr="00393294">
        <w:rPr>
          <w:rFonts w:cs="Times New Roman"/>
          <w:bCs/>
          <w:szCs w:val="24"/>
        </w:rPr>
        <w:t>n element of loss of enjoyment. (</w:t>
      </w:r>
      <w:r w:rsidRPr="00B14A63">
        <w:rPr>
          <w:rFonts w:cs="Times New Roman"/>
          <w:bCs/>
          <w:i/>
          <w:iCs/>
          <w:szCs w:val="24"/>
        </w:rPr>
        <w:t>Sturges v. Charles L. Harney Inc.</w:t>
      </w:r>
      <w:r w:rsidRPr="00393294">
        <w:rPr>
          <w:rFonts w:cs="Times New Roman"/>
          <w:bCs/>
          <w:szCs w:val="24"/>
        </w:rPr>
        <w:t xml:space="preserve"> (1958) 165 Cal.App.2d 306, 323.)</w:t>
      </w:r>
    </w:p>
    <w:p w14:paraId="03AC1805" w14:textId="77777777" w:rsidR="003F0E15" w:rsidRDefault="00E4290E" w:rsidP="00393294">
      <w:pPr>
        <w:spacing w:after="264"/>
        <w:ind w:left="1080" w:hanging="360"/>
        <w:rPr>
          <w:rFonts w:cs="Times New Roman"/>
          <w:bCs/>
          <w:szCs w:val="24"/>
        </w:rPr>
      </w:pPr>
      <w:r>
        <w:rPr>
          <w:rFonts w:cs="Times New Roman"/>
          <w:bCs/>
          <w:szCs w:val="24"/>
        </w:rPr>
        <w:t xml:space="preserve">—  </w:t>
      </w:r>
      <w:r w:rsidRPr="00E4290E">
        <w:rPr>
          <w:rFonts w:cs="Times New Roman"/>
          <w:bCs/>
          <w:szCs w:val="24"/>
        </w:rPr>
        <w:t>Punitive damages may be awarded where plaintiff proves by clear and convincing evidence that defendant was guilty of oppression, fraud</w:t>
      </w:r>
      <w:r>
        <w:rPr>
          <w:rFonts w:cs="Times New Roman"/>
          <w:bCs/>
          <w:szCs w:val="24"/>
        </w:rPr>
        <w:t>,</w:t>
      </w:r>
      <w:r w:rsidRPr="00E4290E">
        <w:rPr>
          <w:rFonts w:cs="Times New Roman"/>
          <w:bCs/>
          <w:szCs w:val="24"/>
        </w:rPr>
        <w:t xml:space="preserve"> or malice. (Civ. Code</w:t>
      </w:r>
      <w:r>
        <w:rPr>
          <w:rFonts w:cs="Times New Roman"/>
          <w:bCs/>
          <w:szCs w:val="24"/>
        </w:rPr>
        <w:t>,</w:t>
      </w:r>
      <w:r w:rsidRPr="00E4290E">
        <w:rPr>
          <w:rFonts w:cs="Times New Roman"/>
          <w:bCs/>
          <w:szCs w:val="24"/>
        </w:rPr>
        <w:t xml:space="preserve"> § 3294(a); </w:t>
      </w:r>
      <w:proofErr w:type="spellStart"/>
      <w:r w:rsidRPr="00E4290E">
        <w:rPr>
          <w:rFonts w:cs="Times New Roman"/>
          <w:bCs/>
          <w:i/>
          <w:iCs/>
          <w:szCs w:val="24"/>
        </w:rPr>
        <w:t>Hassoldt</w:t>
      </w:r>
      <w:proofErr w:type="spellEnd"/>
      <w:r w:rsidRPr="00E4290E">
        <w:rPr>
          <w:rFonts w:cs="Times New Roman"/>
          <w:bCs/>
          <w:i/>
          <w:iCs/>
          <w:szCs w:val="24"/>
        </w:rPr>
        <w:t xml:space="preserve"> v. Patrick Media Group Inc.</w:t>
      </w:r>
      <w:r w:rsidRPr="00E4290E">
        <w:rPr>
          <w:rFonts w:cs="Times New Roman"/>
          <w:bCs/>
          <w:szCs w:val="24"/>
        </w:rPr>
        <w:t xml:space="preserve"> (2000) 84 Cal.App.4th 153, 169-170</w:t>
      </w:r>
      <w:r>
        <w:rPr>
          <w:rFonts w:cs="Times New Roman"/>
          <w:bCs/>
          <w:szCs w:val="24"/>
        </w:rPr>
        <w:t>.)</w:t>
      </w:r>
    </w:p>
    <w:p w14:paraId="469BA5A4" w14:textId="77777777" w:rsidR="003F0E15" w:rsidRDefault="006A3B04" w:rsidP="00393294">
      <w:pPr>
        <w:spacing w:after="264"/>
        <w:ind w:left="1080" w:hanging="360"/>
        <w:rPr>
          <w:rFonts w:cs="Times New Roman"/>
          <w:bCs/>
          <w:szCs w:val="24"/>
        </w:rPr>
      </w:pPr>
      <w:r>
        <w:rPr>
          <w:rFonts w:cs="Times New Roman"/>
          <w:bCs/>
          <w:szCs w:val="24"/>
        </w:rPr>
        <w:t xml:space="preserve">—  </w:t>
      </w:r>
      <w:r w:rsidRPr="006A3B04">
        <w:rPr>
          <w:rFonts w:cs="Times New Roman"/>
          <w:bCs/>
          <w:szCs w:val="24"/>
        </w:rPr>
        <w:t>Declaratory relief may be available in nuisance cases. (Code Civ. Proc.</w:t>
      </w:r>
      <w:r>
        <w:rPr>
          <w:rFonts w:cs="Times New Roman"/>
          <w:bCs/>
          <w:szCs w:val="24"/>
        </w:rPr>
        <w:t>,</w:t>
      </w:r>
      <w:r w:rsidRPr="006A3B04">
        <w:rPr>
          <w:rFonts w:cs="Times New Roman"/>
          <w:bCs/>
          <w:szCs w:val="24"/>
        </w:rPr>
        <w:t xml:space="preserve"> § 1060; </w:t>
      </w:r>
      <w:r w:rsidRPr="006A3B04">
        <w:rPr>
          <w:rFonts w:cs="Times New Roman"/>
          <w:bCs/>
          <w:i/>
          <w:iCs/>
          <w:szCs w:val="24"/>
        </w:rPr>
        <w:t>Shamsian v. Atlantic Richfield Co.</w:t>
      </w:r>
      <w:r w:rsidRPr="006A3B04">
        <w:rPr>
          <w:rFonts w:cs="Times New Roman"/>
          <w:bCs/>
          <w:szCs w:val="24"/>
        </w:rPr>
        <w:t xml:space="preserve"> (2003) 107 Cal.App.4th 967, 984.)</w:t>
      </w:r>
    </w:p>
    <w:p w14:paraId="7A9578C8" w14:textId="77777777" w:rsidR="003F0E15" w:rsidRDefault="00D45B7D" w:rsidP="00393294">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78EC77EE"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980A56" w14:textId="77777777" w:rsidR="003F0E15" w:rsidRDefault="00CE6FC7" w:rsidP="00CE6FC7">
      <w:pPr>
        <w:spacing w:after="264"/>
        <w:ind w:left="1080" w:hanging="360"/>
        <w:rPr>
          <w:rFonts w:cs="Times New Roman"/>
          <w:bCs/>
          <w:szCs w:val="24"/>
        </w:rPr>
      </w:pPr>
      <w:r>
        <w:rPr>
          <w:rFonts w:cs="Times New Roman"/>
          <w:bCs/>
          <w:szCs w:val="24"/>
        </w:rPr>
        <w:t xml:space="preserve">—  </w:t>
      </w:r>
      <w:r w:rsidR="00357552" w:rsidRPr="00357552">
        <w:rPr>
          <w:rFonts w:cs="Times New Roman"/>
          <w:bCs/>
          <w:szCs w:val="24"/>
        </w:rPr>
        <w:t>Three years for property damage</w:t>
      </w:r>
      <w:r w:rsidR="00357552">
        <w:rPr>
          <w:rFonts w:cs="Times New Roman"/>
          <w:bCs/>
          <w:szCs w:val="24"/>
        </w:rPr>
        <w:t xml:space="preserve"> resulting from a nuisance</w:t>
      </w:r>
      <w:r w:rsidR="00357552" w:rsidRPr="00357552">
        <w:rPr>
          <w:rFonts w:cs="Times New Roman"/>
          <w:bCs/>
          <w:szCs w:val="24"/>
        </w:rPr>
        <w:t>. (Code Civ. Proc.</w:t>
      </w:r>
      <w:r w:rsidR="00357552">
        <w:rPr>
          <w:rFonts w:cs="Times New Roman"/>
          <w:bCs/>
          <w:szCs w:val="24"/>
        </w:rPr>
        <w:t>,</w:t>
      </w:r>
      <w:r w:rsidR="00357552" w:rsidRPr="00357552">
        <w:rPr>
          <w:rFonts w:cs="Times New Roman"/>
          <w:bCs/>
          <w:szCs w:val="24"/>
        </w:rPr>
        <w:t xml:space="preserve"> § 338(b); </w:t>
      </w:r>
      <w:r w:rsidR="00357552" w:rsidRPr="00357552">
        <w:rPr>
          <w:rFonts w:cs="Times New Roman"/>
          <w:bCs/>
          <w:i/>
          <w:iCs/>
          <w:szCs w:val="24"/>
        </w:rPr>
        <w:t>Wilshire Westwood Assocs. v. Atlantic Richfield Co.</w:t>
      </w:r>
      <w:r w:rsidR="00357552" w:rsidRPr="00357552">
        <w:rPr>
          <w:rFonts w:cs="Times New Roman"/>
          <w:bCs/>
          <w:szCs w:val="24"/>
        </w:rPr>
        <w:t xml:space="preserve"> (1993) 20 Cal.App.4th 732, 743-745.) </w:t>
      </w:r>
    </w:p>
    <w:p w14:paraId="2FAE5017" w14:textId="77777777" w:rsidR="003F0E15" w:rsidRDefault="00357552" w:rsidP="00CE6FC7">
      <w:pPr>
        <w:spacing w:after="264"/>
        <w:ind w:left="1080" w:hanging="360"/>
        <w:rPr>
          <w:rFonts w:cs="Times New Roman"/>
          <w:bCs/>
          <w:szCs w:val="24"/>
        </w:rPr>
      </w:pPr>
      <w:r>
        <w:rPr>
          <w:rFonts w:cs="Times New Roman"/>
          <w:bCs/>
          <w:szCs w:val="24"/>
        </w:rPr>
        <w:t xml:space="preserve">—  Two years for personal injuries </w:t>
      </w:r>
      <w:r w:rsidRPr="00357552">
        <w:rPr>
          <w:rFonts w:cs="Times New Roman"/>
          <w:bCs/>
          <w:szCs w:val="24"/>
        </w:rPr>
        <w:t>resulting from a nuisance</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29D07762" w14:textId="77777777" w:rsidR="003F0E15" w:rsidRDefault="00357552" w:rsidP="00CE6FC7">
      <w:pPr>
        <w:spacing w:after="264"/>
        <w:ind w:left="1080" w:hanging="360"/>
        <w:rPr>
          <w:rFonts w:cs="Times New Roman"/>
          <w:bCs/>
          <w:szCs w:val="24"/>
        </w:rPr>
      </w:pPr>
      <w:r>
        <w:rPr>
          <w:rFonts w:cs="Times New Roman"/>
          <w:bCs/>
          <w:szCs w:val="24"/>
        </w:rPr>
        <w:t xml:space="preserve">—  </w:t>
      </w:r>
      <w:r w:rsidRPr="00357552">
        <w:rPr>
          <w:rFonts w:cs="Times New Roman"/>
          <w:bCs/>
          <w:szCs w:val="24"/>
        </w:rPr>
        <w:t>Commencement of running of the statute can be an issue.</w:t>
      </w:r>
    </w:p>
    <w:p w14:paraId="0F3C5D64"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 </w:t>
      </w:r>
    </w:p>
    <w:p w14:paraId="7B535C38"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a </w:t>
      </w:r>
      <w:r w:rsidRPr="00357552">
        <w:rPr>
          <w:rFonts w:cs="Times New Roman"/>
          <w:bCs/>
          <w:i/>
          <w:iCs/>
          <w:szCs w:val="24"/>
        </w:rPr>
        <w:t>permanent</w:t>
      </w:r>
      <w:r w:rsidRPr="00357552">
        <w:rPr>
          <w:rFonts w:cs="Times New Roman"/>
          <w:bCs/>
          <w:szCs w:val="24"/>
        </w:rPr>
        <w:t xml:space="preserve"> nuisance</w:t>
      </w:r>
      <w:r>
        <w:rPr>
          <w:rFonts w:cs="Times New Roman"/>
          <w:bCs/>
          <w:szCs w:val="24"/>
        </w:rPr>
        <w:t xml:space="preserve"> (e.g., a building, fence, </w:t>
      </w:r>
      <w:r w:rsidRPr="00357552">
        <w:rPr>
          <w:rFonts w:cs="Times New Roman"/>
          <w:bCs/>
          <w:szCs w:val="24"/>
        </w:rPr>
        <w:t>buried sewer, or structure located on the property of another</w:t>
      </w:r>
      <w:r>
        <w:rPr>
          <w:rFonts w:cs="Times New Roman"/>
          <w:bCs/>
          <w:szCs w:val="24"/>
        </w:rPr>
        <w:t>)</w:t>
      </w:r>
      <w:r w:rsidRPr="00357552">
        <w:rPr>
          <w:rFonts w:cs="Times New Roman"/>
          <w:bCs/>
          <w:szCs w:val="24"/>
        </w:rPr>
        <w:t xml:space="preserve">, the three year statute of limitations begins to run </w:t>
      </w:r>
      <w:r w:rsidRPr="00357552">
        <w:rPr>
          <w:rFonts w:cs="Times New Roman"/>
          <w:bCs/>
          <w:i/>
          <w:iCs/>
          <w:szCs w:val="24"/>
          <w:u w:val="single"/>
        </w:rPr>
        <w:t>when the nuisance first occurred</w:t>
      </w:r>
      <w:r w:rsidRPr="00357552">
        <w:rPr>
          <w:rFonts w:cs="Times New Roman"/>
          <w:bCs/>
          <w:szCs w:val="24"/>
        </w:rPr>
        <w:t xml:space="preserve">. </w:t>
      </w:r>
    </w:p>
    <w:p w14:paraId="20DF4AE3" w14:textId="77777777" w:rsidR="003F0E15" w:rsidRDefault="00DC2000" w:rsidP="00DC200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E84E7D4" w14:textId="77777777" w:rsidR="003F0E15" w:rsidRDefault="00DC2000" w:rsidP="00DC200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Nuisance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6B5D400" w14:textId="77777777" w:rsidR="003F0E15" w:rsidRDefault="00DC2000" w:rsidP="00DC2000">
      <w:pPr>
        <w:spacing w:after="264"/>
        <w:ind w:left="1080" w:hanging="360"/>
        <w:rPr>
          <w:rFonts w:cs="Times New Roman"/>
          <w:bCs/>
          <w:szCs w:val="24"/>
          <w:highlight w:val="green"/>
        </w:rPr>
      </w:pPr>
      <w:r w:rsidRPr="002D206C">
        <w:rPr>
          <w:rFonts w:cs="Times New Roman"/>
          <w:bCs/>
          <w:szCs w:val="24"/>
          <w:highlight w:val="green"/>
        </w:rPr>
        <w:t>—  ***</w:t>
      </w:r>
    </w:p>
    <w:p w14:paraId="33F9826D" w14:textId="77777777" w:rsidR="003F0E15" w:rsidRDefault="00DC2000" w:rsidP="00DC2000">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B818023"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255E993"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38EF4042" w14:textId="77777777" w:rsidR="003F0E15" w:rsidRDefault="004D0958" w:rsidP="00D23C04">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65A7CE5A" w14:textId="77777777" w:rsidR="003F0E15" w:rsidRDefault="003D74F3"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Trespass</w:t>
      </w:r>
    </w:p>
    <w:p w14:paraId="4272B3C3" w14:textId="77777777" w:rsidR="003F0E15" w:rsidRDefault="003D74F3" w:rsidP="00CA687E">
      <w:pPr>
        <w:spacing w:after="264"/>
        <w:rPr>
          <w:rFonts w:cs="Times New Roman"/>
          <w:bCs/>
          <w:szCs w:val="24"/>
        </w:rPr>
      </w:pPr>
      <w:r w:rsidRPr="00CB10A8">
        <w:rPr>
          <w:rFonts w:cs="Times New Roman"/>
          <w:bCs/>
          <w:szCs w:val="24"/>
          <w:u w:val="single"/>
        </w:rPr>
        <w:t>Elements</w:t>
      </w:r>
      <w:r>
        <w:rPr>
          <w:rFonts w:cs="Times New Roman"/>
          <w:bCs/>
          <w:szCs w:val="24"/>
        </w:rPr>
        <w:t>—</w:t>
      </w:r>
      <w:r w:rsidR="00CA687E">
        <w:rPr>
          <w:rFonts w:cs="Times New Roman"/>
          <w:bCs/>
          <w:szCs w:val="24"/>
        </w:rPr>
        <w:t>Trespass.</w:t>
      </w:r>
    </w:p>
    <w:p w14:paraId="1CFB14C9" w14:textId="77777777" w:rsidR="003F0E15" w:rsidRDefault="00CA687E" w:rsidP="00CA687E">
      <w:pPr>
        <w:spacing w:after="264"/>
        <w:ind w:left="1080" w:hanging="360"/>
        <w:rPr>
          <w:rFonts w:cs="Times New Roman"/>
          <w:bCs/>
          <w:szCs w:val="24"/>
        </w:rPr>
      </w:pPr>
      <w:r>
        <w:rPr>
          <w:rFonts w:cs="Times New Roman"/>
          <w:bCs/>
          <w:szCs w:val="24"/>
        </w:rPr>
        <w:t xml:space="preserve">—  </w:t>
      </w:r>
      <w:r w:rsidR="00810532">
        <w:rPr>
          <w:rFonts w:cs="Times New Roman"/>
          <w:bCs/>
          <w:szCs w:val="24"/>
        </w:rPr>
        <w:t>“</w:t>
      </w:r>
      <w:r w:rsidR="003D74F3">
        <w:rPr>
          <w:rFonts w:cs="Times New Roman"/>
          <w:bCs/>
          <w:szCs w:val="24"/>
        </w:rPr>
        <w:t>A</w:t>
      </w:r>
      <w:r w:rsidR="003D74F3" w:rsidRPr="009E542B">
        <w:rPr>
          <w:rFonts w:cs="Times New Roman"/>
          <w:bCs/>
          <w:szCs w:val="24"/>
        </w:rPr>
        <w:t xml:space="preserve"> trespass is an invasion of the interest in the exclusive possession of land, as by entry upon it.” </w:t>
      </w:r>
      <w:r w:rsidR="003D74F3">
        <w:rPr>
          <w:rFonts w:cs="Times New Roman"/>
          <w:bCs/>
          <w:szCs w:val="24"/>
        </w:rPr>
        <w:t>(</w:t>
      </w:r>
      <w:r w:rsidR="003D74F3" w:rsidRPr="00423E78">
        <w:rPr>
          <w:rFonts w:cs="Times New Roman"/>
          <w:bCs/>
          <w:i/>
          <w:iCs/>
          <w:szCs w:val="24"/>
        </w:rPr>
        <w:t>Wilson v. Interlake Steel Co.</w:t>
      </w:r>
      <w:r w:rsidR="003D74F3" w:rsidRPr="009E542B">
        <w:rPr>
          <w:rFonts w:cs="Times New Roman"/>
          <w:bCs/>
          <w:szCs w:val="24"/>
        </w:rPr>
        <w:t xml:space="preserve"> (1982) 32 Cal.3d 229, 233.</w:t>
      </w:r>
      <w:r w:rsidR="003D74F3">
        <w:rPr>
          <w:rFonts w:cs="Times New Roman"/>
          <w:bCs/>
          <w:szCs w:val="24"/>
        </w:rPr>
        <w:t>)</w:t>
      </w:r>
      <w:r w:rsidR="003D74F3" w:rsidRPr="009E542B">
        <w:rPr>
          <w:rFonts w:cs="Times New Roman"/>
          <w:bCs/>
          <w:szCs w:val="24"/>
        </w:rPr>
        <w:t xml:space="preserve"> “The essence of the cause of action for trespass is an ‘unauthorized entry’ onto the land of another.” </w:t>
      </w:r>
      <w:r w:rsidR="003D74F3">
        <w:rPr>
          <w:rFonts w:cs="Times New Roman"/>
          <w:bCs/>
          <w:szCs w:val="24"/>
        </w:rPr>
        <w:t>(</w:t>
      </w:r>
      <w:r w:rsidR="003D74F3" w:rsidRPr="00423E78">
        <w:rPr>
          <w:rFonts w:cs="Times New Roman"/>
          <w:bCs/>
          <w:i/>
          <w:iCs/>
          <w:szCs w:val="24"/>
        </w:rPr>
        <w:t>Cassinos v. Union Oil Co.</w:t>
      </w:r>
      <w:r w:rsidR="003D74F3" w:rsidRPr="009E542B">
        <w:rPr>
          <w:rFonts w:cs="Times New Roman"/>
          <w:bCs/>
          <w:szCs w:val="24"/>
        </w:rPr>
        <w:t xml:space="preserve"> (1993)</w:t>
      </w:r>
      <w:r w:rsidR="003D74F3">
        <w:rPr>
          <w:rFonts w:cs="Times New Roman"/>
          <w:bCs/>
          <w:szCs w:val="24"/>
        </w:rPr>
        <w:t xml:space="preserve"> </w:t>
      </w:r>
      <w:r w:rsidR="003D74F3" w:rsidRPr="009E542B">
        <w:rPr>
          <w:rFonts w:cs="Times New Roman"/>
          <w:bCs/>
          <w:szCs w:val="24"/>
        </w:rPr>
        <w:t>14 Cal.App.4th 1770, 1778</w:t>
      </w:r>
      <w:r w:rsidR="003D74F3">
        <w:rPr>
          <w:rFonts w:cs="Times New Roman"/>
          <w:bCs/>
          <w:szCs w:val="24"/>
        </w:rPr>
        <w:t>) [</w:t>
      </w:r>
      <w:r w:rsidR="003D74F3" w:rsidRPr="009E542B">
        <w:rPr>
          <w:rFonts w:cs="Times New Roman"/>
          <w:bCs/>
          <w:szCs w:val="24"/>
        </w:rPr>
        <w:t>trespass where wastewater was injected from defendan</w:t>
      </w:r>
      <w:r w:rsidR="003D74F3">
        <w:rPr>
          <w:rFonts w:cs="Times New Roman"/>
          <w:bCs/>
          <w:szCs w:val="24"/>
        </w:rPr>
        <w:t>t’s</w:t>
      </w:r>
      <w:r w:rsidR="003D74F3" w:rsidRPr="009E542B">
        <w:rPr>
          <w:rFonts w:cs="Times New Roman"/>
          <w:bCs/>
          <w:szCs w:val="24"/>
        </w:rPr>
        <w:t xml:space="preserve"> property to plaintiff</w:t>
      </w:r>
      <w:r w:rsidR="003D74F3">
        <w:rPr>
          <w:rFonts w:cs="Times New Roman"/>
          <w:bCs/>
          <w:szCs w:val="24"/>
        </w:rPr>
        <w:t>’s</w:t>
      </w:r>
      <w:r w:rsidR="003D74F3" w:rsidRPr="009E542B">
        <w:rPr>
          <w:rFonts w:cs="Times New Roman"/>
          <w:bCs/>
          <w:szCs w:val="24"/>
        </w:rPr>
        <w:t>, interfering with plaintiff</w:t>
      </w:r>
      <w:r w:rsidR="003D74F3">
        <w:rPr>
          <w:rFonts w:cs="Times New Roman"/>
          <w:bCs/>
          <w:szCs w:val="24"/>
        </w:rPr>
        <w:t>’s</w:t>
      </w:r>
      <w:r w:rsidR="003D74F3" w:rsidRPr="009E542B">
        <w:rPr>
          <w:rFonts w:cs="Times New Roman"/>
          <w:bCs/>
          <w:szCs w:val="24"/>
        </w:rPr>
        <w:t xml:space="preserve"> mineral estate</w:t>
      </w:r>
      <w:r w:rsidR="003D74F3">
        <w:rPr>
          <w:rFonts w:cs="Times New Roman"/>
          <w:bCs/>
          <w:szCs w:val="24"/>
        </w:rPr>
        <w:t>]</w:t>
      </w:r>
      <w:r w:rsidR="003D74F3" w:rsidRPr="009E542B">
        <w:rPr>
          <w:rFonts w:cs="Times New Roman"/>
          <w:bCs/>
          <w:szCs w:val="24"/>
        </w:rPr>
        <w:t xml:space="preserve">. </w:t>
      </w:r>
    </w:p>
    <w:p w14:paraId="61A981D2" w14:textId="77777777" w:rsidR="003F0E15" w:rsidRDefault="00810532" w:rsidP="00CA687E">
      <w:pPr>
        <w:spacing w:after="264"/>
        <w:ind w:left="1080" w:hanging="360"/>
        <w:rPr>
          <w:rFonts w:cs="Times New Roman"/>
          <w:bCs/>
          <w:szCs w:val="24"/>
        </w:rPr>
      </w:pPr>
      <w:r>
        <w:rPr>
          <w:rFonts w:cs="Times New Roman"/>
          <w:bCs/>
          <w:szCs w:val="24"/>
        </w:rPr>
        <w:t xml:space="preserve">—  </w:t>
      </w:r>
      <w:r w:rsidR="003D74F3" w:rsidRPr="009E542B">
        <w:rPr>
          <w:rFonts w:cs="Times New Roman"/>
          <w:bCs/>
          <w:szCs w:val="24"/>
        </w:rPr>
        <w:t xml:space="preserve">An action for trespass may technically be maintained only by one whose right to possession has been violated (see generally, Prosser, Law of Torts, (4th ed.) § 13, p. 69; </w:t>
      </w:r>
      <w:proofErr w:type="spellStart"/>
      <w:r w:rsidR="003D74F3" w:rsidRPr="00423E78">
        <w:rPr>
          <w:rFonts w:cs="Times New Roman"/>
          <w:bCs/>
          <w:i/>
          <w:iCs/>
          <w:szCs w:val="24"/>
        </w:rPr>
        <w:t>Uttendorffer</w:t>
      </w:r>
      <w:proofErr w:type="spellEnd"/>
      <w:r w:rsidR="003D74F3" w:rsidRPr="00423E78">
        <w:rPr>
          <w:rFonts w:cs="Times New Roman"/>
          <w:bCs/>
          <w:i/>
          <w:iCs/>
          <w:szCs w:val="24"/>
        </w:rPr>
        <w:t xml:space="preserve"> v. </w:t>
      </w:r>
      <w:proofErr w:type="spellStart"/>
      <w:r w:rsidR="003D74F3" w:rsidRPr="00423E78">
        <w:rPr>
          <w:rFonts w:cs="Times New Roman"/>
          <w:bCs/>
          <w:i/>
          <w:iCs/>
          <w:szCs w:val="24"/>
        </w:rPr>
        <w:t>Saegers</w:t>
      </w:r>
      <w:proofErr w:type="spellEnd"/>
      <w:r w:rsidR="003D74F3" w:rsidRPr="009E542B">
        <w:rPr>
          <w:rFonts w:cs="Times New Roman"/>
          <w:bCs/>
          <w:szCs w:val="24"/>
        </w:rPr>
        <w:t xml:space="preserve"> (1875) 50 Cal. 496, 497–498); however, an out-of-possession property owner may recover for an injury to the land by a trespasser which damages the ownership interest. (</w:t>
      </w:r>
      <w:r w:rsidR="003D74F3" w:rsidRPr="00423E78">
        <w:rPr>
          <w:rFonts w:cs="Times New Roman"/>
          <w:bCs/>
          <w:i/>
          <w:iCs/>
          <w:szCs w:val="24"/>
        </w:rPr>
        <w:t>Rogers v. Duhart</w:t>
      </w:r>
      <w:r w:rsidR="003D74F3" w:rsidRPr="009E542B">
        <w:rPr>
          <w:rFonts w:cs="Times New Roman"/>
          <w:bCs/>
          <w:szCs w:val="24"/>
        </w:rPr>
        <w:t xml:space="preserve"> (1893) 97 Cal. 500, 504–505)[citations]” (</w:t>
      </w:r>
      <w:r w:rsidR="003D74F3" w:rsidRPr="00423E78">
        <w:rPr>
          <w:rFonts w:cs="Times New Roman"/>
          <w:bCs/>
          <w:i/>
          <w:iCs/>
          <w:szCs w:val="24"/>
        </w:rPr>
        <w:t>Smith v. Cap Concrete, Inc.</w:t>
      </w:r>
      <w:r w:rsidR="003D74F3" w:rsidRPr="009E542B">
        <w:rPr>
          <w:rFonts w:cs="Times New Roman"/>
          <w:bCs/>
          <w:szCs w:val="24"/>
        </w:rPr>
        <w:t xml:space="preserve"> (1982) 133 Cal.App.3d 769, 774.)</w:t>
      </w:r>
      <w:r w:rsidR="003D74F3">
        <w:rPr>
          <w:rFonts w:cs="Times New Roman"/>
          <w:bCs/>
          <w:szCs w:val="24"/>
        </w:rPr>
        <w:t xml:space="preserve"> </w:t>
      </w:r>
      <w:r>
        <w:rPr>
          <w:rFonts w:cs="Times New Roman"/>
          <w:bCs/>
          <w:szCs w:val="24"/>
        </w:rPr>
        <w:t>In other words, a</w:t>
      </w:r>
      <w:r w:rsidRPr="009E542B">
        <w:rPr>
          <w:rFonts w:cs="Times New Roman"/>
          <w:bCs/>
          <w:szCs w:val="24"/>
        </w:rPr>
        <w:t xml:space="preserve"> plaintiff asserting a claim for trespass must have a possessory interest in the land at issue; mere ownership is not sufficient. </w:t>
      </w:r>
      <w:r>
        <w:rPr>
          <w:rFonts w:cs="Times New Roman"/>
          <w:bCs/>
          <w:szCs w:val="24"/>
        </w:rPr>
        <w:t>(</w:t>
      </w:r>
      <w:r w:rsidRPr="00423E78">
        <w:rPr>
          <w:rFonts w:cs="Times New Roman"/>
          <w:bCs/>
          <w:i/>
          <w:iCs/>
          <w:szCs w:val="24"/>
        </w:rPr>
        <w:t>Dieterich Int’l Truck Sales, Inc. v. J.S. &amp; J. Servs. Inc.</w:t>
      </w:r>
      <w:r w:rsidRPr="009E542B">
        <w:rPr>
          <w:rFonts w:cs="Times New Roman"/>
          <w:bCs/>
          <w:szCs w:val="24"/>
        </w:rPr>
        <w:t xml:space="preserve"> (1992) 3 Cal.App.4th 1601, 1608–10.</w:t>
      </w:r>
      <w:r>
        <w:rPr>
          <w:rFonts w:cs="Times New Roman"/>
          <w:bCs/>
          <w:szCs w:val="24"/>
        </w:rPr>
        <w:t>)</w:t>
      </w:r>
    </w:p>
    <w:p w14:paraId="23D8268E" w14:textId="77777777" w:rsidR="003F0E15" w:rsidRDefault="00241AF2" w:rsidP="00CA687E">
      <w:pPr>
        <w:spacing w:after="264"/>
        <w:ind w:left="1080" w:hanging="360"/>
        <w:rPr>
          <w:rFonts w:cs="Times New Roman"/>
          <w:bCs/>
          <w:szCs w:val="24"/>
        </w:rPr>
      </w:pPr>
      <w:r>
        <w:rPr>
          <w:rFonts w:cs="Times New Roman"/>
          <w:bCs/>
          <w:szCs w:val="24"/>
        </w:rPr>
        <w:t xml:space="preserve">—  </w:t>
      </w:r>
      <w:r w:rsidR="003D74F3" w:rsidRPr="00FD51C5">
        <w:rPr>
          <w:rFonts w:cs="Times New Roman"/>
          <w:bCs/>
          <w:szCs w:val="24"/>
        </w:rPr>
        <w:t>Where possession is an issue, courts have held that “whether plaintiff’s relationship to the land amounts to possession within the meaning of the foregoing principles is a question of fact to be determined by the jury (</w:t>
      </w:r>
      <w:r w:rsidR="003D74F3" w:rsidRPr="00FD51C5">
        <w:rPr>
          <w:rFonts w:cs="Times New Roman"/>
          <w:bCs/>
          <w:i/>
          <w:iCs/>
          <w:szCs w:val="24"/>
        </w:rPr>
        <w:t>O’Banion v. Borba</w:t>
      </w:r>
      <w:r w:rsidR="003D74F3" w:rsidRPr="00FD51C5">
        <w:rPr>
          <w:rFonts w:cs="Times New Roman"/>
          <w:bCs/>
          <w:szCs w:val="24"/>
        </w:rPr>
        <w:t xml:space="preserve"> (1948) 32 Cal.2d 145; </w:t>
      </w:r>
      <w:r w:rsidR="003D74F3" w:rsidRPr="00FD51C5">
        <w:rPr>
          <w:rFonts w:cs="Times New Roman"/>
          <w:bCs/>
          <w:i/>
          <w:iCs/>
          <w:szCs w:val="24"/>
        </w:rPr>
        <w:t>Walner v. City of Turlock</w:t>
      </w:r>
      <w:r w:rsidR="003D74F3" w:rsidRPr="00FD51C5">
        <w:rPr>
          <w:rFonts w:cs="Times New Roman"/>
          <w:bCs/>
          <w:szCs w:val="24"/>
        </w:rPr>
        <w:t xml:space="preserve"> (1964) 230 Cal.App.2d 399; </w:t>
      </w:r>
      <w:proofErr w:type="spellStart"/>
      <w:r w:rsidR="003D74F3" w:rsidRPr="00FD51C5">
        <w:rPr>
          <w:rFonts w:cs="Times New Roman"/>
          <w:bCs/>
          <w:i/>
          <w:iCs/>
          <w:szCs w:val="24"/>
        </w:rPr>
        <w:t>Brumagim</w:t>
      </w:r>
      <w:proofErr w:type="spellEnd"/>
      <w:r w:rsidR="003D74F3" w:rsidRPr="00FD51C5">
        <w:rPr>
          <w:rFonts w:cs="Times New Roman"/>
          <w:bCs/>
          <w:i/>
          <w:iCs/>
          <w:szCs w:val="24"/>
        </w:rPr>
        <w:t xml:space="preserve"> v. Bradshaw</w:t>
      </w:r>
      <w:r w:rsidR="003D74F3" w:rsidRPr="00FD51C5">
        <w:rPr>
          <w:rFonts w:cs="Times New Roman"/>
          <w:bCs/>
          <w:szCs w:val="24"/>
        </w:rPr>
        <w:t xml:space="preserve"> (1870) 39 Cal. 24), unless it can be said as a matter of law that the evidence upon that issue is palpably insufficient to support a verdict for plaintiff. (</w:t>
      </w:r>
      <w:r w:rsidR="003D74F3" w:rsidRPr="00FD51C5">
        <w:rPr>
          <w:rFonts w:cs="Times New Roman"/>
          <w:bCs/>
          <w:i/>
          <w:iCs/>
          <w:szCs w:val="24"/>
        </w:rPr>
        <w:t>O’Keefe v. South End Rowing Club</w:t>
      </w:r>
      <w:r w:rsidR="003D74F3" w:rsidRPr="00FD51C5">
        <w:rPr>
          <w:rFonts w:cs="Times New Roman"/>
          <w:bCs/>
          <w:szCs w:val="24"/>
        </w:rPr>
        <w:t xml:space="preserve"> (1966) 64 Cal.2d 729; [Citations]” (</w:t>
      </w:r>
      <w:r w:rsidR="003D74F3" w:rsidRPr="00FD51C5">
        <w:rPr>
          <w:rFonts w:cs="Times New Roman"/>
          <w:bCs/>
          <w:i/>
          <w:iCs/>
          <w:szCs w:val="24"/>
        </w:rPr>
        <w:t>Williams v. Goodwin</w:t>
      </w:r>
      <w:r w:rsidR="003D74F3" w:rsidRPr="00FD51C5">
        <w:rPr>
          <w:rFonts w:cs="Times New Roman"/>
          <w:bCs/>
          <w:szCs w:val="24"/>
        </w:rPr>
        <w:t xml:space="preserve"> (1974) 41 Cal.App.3d 496, 509.)</w:t>
      </w:r>
      <w:r w:rsidR="003D74F3">
        <w:rPr>
          <w:rFonts w:cs="Times New Roman"/>
          <w:bCs/>
          <w:szCs w:val="24"/>
        </w:rPr>
        <w:t xml:space="preserve"> </w:t>
      </w:r>
    </w:p>
    <w:p w14:paraId="14957AAD" w14:textId="489A0B04" w:rsidR="003F0E15" w:rsidRDefault="00CA687E" w:rsidP="00CA687E">
      <w:pPr>
        <w:spacing w:after="264"/>
        <w:ind w:left="1080" w:hanging="360"/>
        <w:rPr>
          <w:rFonts w:cs="Times New Roman"/>
          <w:bCs/>
          <w:szCs w:val="24"/>
        </w:rPr>
      </w:pPr>
      <w:r>
        <w:rPr>
          <w:rFonts w:cs="Times New Roman"/>
          <w:bCs/>
          <w:szCs w:val="24"/>
        </w:rPr>
        <w:t xml:space="preserve">—  </w:t>
      </w:r>
      <w:r w:rsidR="0040087F">
        <w:rPr>
          <w:rFonts w:cs="Times New Roman"/>
          <w:bCs/>
          <w:szCs w:val="24"/>
        </w:rPr>
        <w:t xml:space="preserve">Like nuisances, trespasses can be characterized by either permanent or continuing. </w:t>
      </w:r>
      <w:r w:rsidR="0040087F" w:rsidRPr="0040087F">
        <w:rPr>
          <w:rFonts w:cs="Times New Roman"/>
          <w:bCs/>
          <w:szCs w:val="24"/>
        </w:rPr>
        <w:t>The principles governing the permanent or continuing nature of a trespass or nuisance are the same, and the cases discuss the two causes of action without distinction</w:t>
      </w:r>
      <w:r w:rsidR="0040087F">
        <w:rPr>
          <w:rFonts w:cs="Times New Roman"/>
          <w:bCs/>
          <w:szCs w:val="24"/>
        </w:rPr>
        <w:t xml:space="preserve"> (although t</w:t>
      </w:r>
      <w:r w:rsidR="0040087F" w:rsidRPr="0040087F">
        <w:rPr>
          <w:rFonts w:cs="Times New Roman"/>
          <w:bCs/>
          <w:szCs w:val="24"/>
        </w:rPr>
        <w:t>he distinction has implications for the statute of limitations and remedies available</w:t>
      </w:r>
      <w:r w:rsidR="0040087F">
        <w:rPr>
          <w:rFonts w:cs="Times New Roman"/>
          <w:bCs/>
          <w:szCs w:val="24"/>
        </w:rPr>
        <w:t>)</w:t>
      </w:r>
      <w:r w:rsidR="0040087F" w:rsidRPr="0040087F">
        <w:rPr>
          <w:rFonts w:cs="Times New Roman"/>
          <w:bCs/>
          <w:szCs w:val="24"/>
        </w:rPr>
        <w:t xml:space="preserve">. (See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&amp;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Cotton Growers v. Aera Energy LLC</w:t>
      </w:r>
      <w:r w:rsidR="0040087F" w:rsidRPr="0040087F">
        <w:rPr>
          <w:rFonts w:cs="Times New Roman"/>
          <w:bCs/>
          <w:szCs w:val="24"/>
        </w:rPr>
        <w:t xml:space="preserve"> (2007) 153 Cal.App.4th 583.) The key to classifying a trespass as continuing or permanent is whether it is likely to be discontinued or abated at a later date.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40087F" w:rsidRPr="0040087F">
        <w:rPr>
          <w:rFonts w:cs="Times New Roman"/>
          <w:bCs/>
          <w:szCs w:val="24"/>
        </w:rPr>
        <w:t xml:space="preserve"> 592.)</w:t>
      </w:r>
    </w:p>
    <w:bookmarkStart w:id="17" w:name="_Hlk43278279"/>
    <w:p w14:paraId="41190BC0"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A48181" w14:textId="77777777" w:rsidR="003F0E15" w:rsidRDefault="00805A7D" w:rsidP="00805A7D">
      <w:pPr>
        <w:spacing w:after="264"/>
        <w:ind w:left="1080" w:hanging="360"/>
        <w:rPr>
          <w:rFonts w:cs="Times New Roman"/>
          <w:bCs/>
          <w:szCs w:val="24"/>
        </w:rPr>
      </w:pPr>
      <w:r>
        <w:rPr>
          <w:rFonts w:cs="Times New Roman"/>
          <w:bCs/>
          <w:szCs w:val="24"/>
        </w:rPr>
        <w:t xml:space="preserve">—  </w:t>
      </w:r>
      <w:r w:rsidR="003A305B">
        <w:rPr>
          <w:rFonts w:cs="Times New Roman"/>
          <w:bCs/>
          <w:szCs w:val="24"/>
        </w:rPr>
        <w:t xml:space="preserve">As is the case with nuisances, the remedies for </w:t>
      </w:r>
      <w:r w:rsidR="003A305B">
        <w:rPr>
          <w:rFonts w:cs="Times New Roman"/>
          <w:bCs/>
          <w:i/>
          <w:iCs/>
          <w:szCs w:val="24"/>
        </w:rPr>
        <w:t>prior</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and an </w:t>
      </w:r>
      <w:r w:rsidR="003A305B">
        <w:rPr>
          <w:rFonts w:cs="Times New Roman"/>
          <w:bCs/>
          <w:i/>
          <w:iCs/>
          <w:szCs w:val="24"/>
        </w:rPr>
        <w:t>ongoing</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are different.</w:t>
      </w:r>
    </w:p>
    <w:p w14:paraId="640F10B7" w14:textId="77777777" w:rsidR="003F0E15" w:rsidRDefault="00E34FAE" w:rsidP="00FD7C76">
      <w:pPr>
        <w:spacing w:after="264"/>
        <w:ind w:left="1350" w:hanging="270"/>
        <w:rPr>
          <w:rFonts w:cs="Times New Roman"/>
          <w:bCs/>
          <w:szCs w:val="24"/>
        </w:rPr>
      </w:pPr>
      <w:r>
        <w:rPr>
          <w:rFonts w:cs="Times New Roman"/>
          <w:bCs/>
          <w:szCs w:val="24"/>
        </w:rPr>
        <w:t>•</w:t>
      </w:r>
      <w:r w:rsidR="00FD7C76">
        <w:rPr>
          <w:rFonts w:cs="Times New Roman"/>
          <w:bCs/>
          <w:szCs w:val="24"/>
        </w:rPr>
        <w:t xml:space="preserve">   </w:t>
      </w:r>
      <w:r w:rsidR="00621EAB" w:rsidRPr="00621EAB">
        <w:rPr>
          <w:rFonts w:cs="Times New Roman"/>
          <w:bCs/>
          <w:szCs w:val="24"/>
        </w:rPr>
        <w:t xml:space="preserve">For a </w:t>
      </w:r>
      <w:r w:rsidR="00621EAB" w:rsidRPr="00621EAB">
        <w:rPr>
          <w:rFonts w:cs="Times New Roman"/>
          <w:bCs/>
          <w:i/>
          <w:iCs/>
          <w:szCs w:val="24"/>
        </w:rPr>
        <w:t>prior</w:t>
      </w:r>
      <w:r w:rsidR="00621EAB" w:rsidRPr="00621EAB">
        <w:rPr>
          <w:rFonts w:cs="Times New Roman"/>
          <w:bCs/>
          <w:szCs w:val="24"/>
        </w:rPr>
        <w:t xml:space="preserve"> act of trespass, the measure of compensatory </w:t>
      </w:r>
      <w:r w:rsidR="00531AFB">
        <w:rPr>
          <w:rFonts w:cs="Times New Roman"/>
          <w:bCs/>
          <w:szCs w:val="24"/>
        </w:rPr>
        <w:t xml:space="preserve">(money) </w:t>
      </w:r>
      <w:r w:rsidR="00621EAB" w:rsidRPr="00621EAB">
        <w:rPr>
          <w:rFonts w:cs="Times New Roman"/>
          <w:bCs/>
          <w:szCs w:val="24"/>
        </w:rPr>
        <w:t>damages includes</w:t>
      </w:r>
      <w:r w:rsidR="00621EAB">
        <w:rPr>
          <w:rFonts w:cs="Times New Roman"/>
          <w:bCs/>
          <w:szCs w:val="24"/>
        </w:rPr>
        <w:t xml:space="preserve"> the</w:t>
      </w:r>
      <w:r w:rsidR="00621EAB" w:rsidRPr="00621EAB">
        <w:rPr>
          <w:rFonts w:cs="Times New Roman"/>
          <w:bCs/>
          <w:szCs w:val="24"/>
        </w:rPr>
        <w:t>: (</w:t>
      </w:r>
      <w:r w:rsidR="00621EAB">
        <w:rPr>
          <w:rFonts w:cs="Times New Roman"/>
          <w:bCs/>
          <w:szCs w:val="24"/>
        </w:rPr>
        <w:t>i</w:t>
      </w:r>
      <w:r w:rsidR="00621EAB" w:rsidRPr="00621EAB">
        <w:rPr>
          <w:rFonts w:cs="Times New Roman"/>
          <w:bCs/>
          <w:szCs w:val="24"/>
        </w:rPr>
        <w:t>) value of the property</w:t>
      </w:r>
      <w:r w:rsidR="00621EAB">
        <w:rPr>
          <w:rFonts w:cs="Times New Roman"/>
          <w:bCs/>
          <w:szCs w:val="24"/>
        </w:rPr>
        <w:t>’s</w:t>
      </w:r>
      <w:r w:rsidR="00621EAB" w:rsidRPr="00621EAB">
        <w:rPr>
          <w:rFonts w:cs="Times New Roman"/>
          <w:bCs/>
          <w:szCs w:val="24"/>
        </w:rPr>
        <w:t xml:space="preserve"> use during the time it was wrongfully occupied (not more than five years before filing suit); (</w:t>
      </w:r>
      <w:r w:rsidR="00621EAB">
        <w:rPr>
          <w:rFonts w:cs="Times New Roman"/>
          <w:bCs/>
          <w:szCs w:val="24"/>
        </w:rPr>
        <w:t>ii</w:t>
      </w:r>
      <w:r w:rsidR="00621EAB" w:rsidRPr="00621EAB">
        <w:rPr>
          <w:rFonts w:cs="Times New Roman"/>
          <w:bCs/>
          <w:szCs w:val="24"/>
        </w:rPr>
        <w:t>) reasonable cost of repair or restoration of the property to its original condition</w:t>
      </w:r>
      <w:r w:rsidR="00621EAB">
        <w:rPr>
          <w:rFonts w:cs="Times New Roman"/>
          <w:bCs/>
          <w:szCs w:val="24"/>
        </w:rPr>
        <w:t xml:space="preserve">; and (iii) </w:t>
      </w:r>
      <w:r w:rsidR="00621EAB" w:rsidRPr="00621EAB">
        <w:rPr>
          <w:rFonts w:cs="Times New Roman"/>
          <w:bCs/>
          <w:szCs w:val="24"/>
        </w:rPr>
        <w:t xml:space="preserve">costs of recovering possession. (Civ. Code, § 3334(a).) The value of a property’s use is the greater of its reasonable rental value or the benefits obtained by the person wrongfully occupying the land. (Civ. Code, § 3334(b);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&amp;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Cotton Growers v. Aera Energy LLC</w:t>
      </w:r>
      <w:r w:rsidR="00621EAB">
        <w:rPr>
          <w:rFonts w:cs="Times New Roman"/>
          <w:bCs/>
          <w:szCs w:val="24"/>
        </w:rPr>
        <w:t xml:space="preserve">, </w:t>
      </w:r>
      <w:r w:rsidR="00621EAB" w:rsidRPr="00621EAB">
        <w:rPr>
          <w:rFonts w:cs="Times New Roman"/>
          <w:bCs/>
          <w:i/>
          <w:iCs/>
          <w:szCs w:val="24"/>
        </w:rPr>
        <w:t>supra</w:t>
      </w:r>
      <w:r w:rsidR="00621EAB" w:rsidRPr="00621EAB">
        <w:rPr>
          <w:rFonts w:cs="Times New Roman"/>
          <w:bCs/>
          <w:szCs w:val="24"/>
        </w:rPr>
        <w:t>,</w:t>
      </w:r>
      <w:r w:rsidR="00621EAB">
        <w:rPr>
          <w:rFonts w:cs="Times New Roman"/>
          <w:bCs/>
          <w:szCs w:val="24"/>
        </w:rPr>
        <w:t xml:space="preserve"> </w:t>
      </w:r>
      <w:r w:rsidR="00621EAB" w:rsidRPr="00621EAB">
        <w:rPr>
          <w:rFonts w:cs="Times New Roman"/>
          <w:bCs/>
          <w:szCs w:val="24"/>
        </w:rPr>
        <w:t xml:space="preserve">153 Cal.App.4th </w:t>
      </w:r>
      <w:r w:rsidR="00621EAB">
        <w:rPr>
          <w:rFonts w:cs="Times New Roman"/>
          <w:bCs/>
          <w:szCs w:val="24"/>
        </w:rPr>
        <w:t>at</w:t>
      </w:r>
      <w:r w:rsidR="00621EAB" w:rsidRPr="00621EAB">
        <w:rPr>
          <w:rFonts w:cs="Times New Roman"/>
          <w:bCs/>
          <w:szCs w:val="24"/>
        </w:rPr>
        <w:t xml:space="preserve"> 604.) The “reasonable” component means that a plaintiff will recover the lesser of the cost of repairing the damage and restoring the property to its original condition, or the diminution in the value of the property. (</w:t>
      </w:r>
      <w:r w:rsidR="00426749" w:rsidRPr="00426749">
        <w:rPr>
          <w:rFonts w:cs="Times New Roman"/>
          <w:bCs/>
          <w:i/>
          <w:iCs/>
          <w:szCs w:val="24"/>
        </w:rPr>
        <w:t>Id</w:t>
      </w:r>
      <w:r w:rsidR="00CE6D37">
        <w:rPr>
          <w:rFonts w:cs="Times New Roman"/>
          <w:bCs/>
          <w:i/>
          <w:iCs/>
          <w:szCs w:val="24"/>
        </w:rPr>
        <w:t>.</w:t>
      </w:r>
      <w:r w:rsidR="00621EAB" w:rsidRPr="00621EAB">
        <w:rPr>
          <w:rFonts w:cs="Times New Roman"/>
          <w:bCs/>
          <w:szCs w:val="24"/>
        </w:rPr>
        <w:t xml:space="preserve"> at pp. 599-600.)</w:t>
      </w:r>
    </w:p>
    <w:p w14:paraId="147F79E9" w14:textId="77777777" w:rsidR="003F0E15" w:rsidRDefault="0046109F" w:rsidP="0046109F">
      <w:pPr>
        <w:spacing w:after="264"/>
        <w:ind w:left="1710" w:hanging="360"/>
        <w:rPr>
          <w:rFonts w:cs="Times New Roman"/>
          <w:bCs/>
          <w:szCs w:val="24"/>
        </w:rPr>
      </w:pPr>
      <w:r>
        <w:rPr>
          <w:rFonts w:cs="Times New Roman"/>
          <w:bCs/>
          <w:szCs w:val="24"/>
        </w:rPr>
        <w:t xml:space="preserve">→  </w:t>
      </w:r>
      <w:r w:rsidRPr="0046109F">
        <w:rPr>
          <w:rFonts w:cs="Times New Roman"/>
          <w:bCs/>
          <w:szCs w:val="24"/>
        </w:rPr>
        <w:t xml:space="preserve">Damages for “annoyance and discomfort that would naturally ensue” from a trespass on </w:t>
      </w:r>
      <w:r w:rsidR="00ED75C5">
        <w:rPr>
          <w:rFonts w:cs="Times New Roman"/>
          <w:bCs/>
          <w:szCs w:val="24"/>
        </w:rPr>
        <w:t>a plaintiff’s</w:t>
      </w:r>
      <w:r w:rsidRPr="0046109F">
        <w:rPr>
          <w:rFonts w:cs="Times New Roman"/>
          <w:bCs/>
          <w:szCs w:val="24"/>
        </w:rPr>
        <w:t xml:space="preserve"> land are </w:t>
      </w:r>
      <w:r w:rsidR="00ED75C5">
        <w:rPr>
          <w:rFonts w:cs="Times New Roman"/>
          <w:bCs/>
          <w:szCs w:val="24"/>
        </w:rPr>
        <w:t xml:space="preserve">also </w:t>
      </w:r>
      <w:r w:rsidRPr="0046109F">
        <w:rPr>
          <w:rFonts w:cs="Times New Roman"/>
          <w:bCs/>
          <w:szCs w:val="24"/>
        </w:rPr>
        <w:t>recoverable</w:t>
      </w:r>
      <w:r w:rsidR="00ED75C5">
        <w:rPr>
          <w:rFonts w:cs="Times New Roman"/>
          <w:bCs/>
          <w:szCs w:val="24"/>
        </w:rPr>
        <w:t xml:space="preserve">, and are </w:t>
      </w:r>
      <w:r w:rsidRPr="0046109F">
        <w:rPr>
          <w:rFonts w:cs="Times New Roman"/>
          <w:bCs/>
          <w:szCs w:val="24"/>
        </w:rPr>
        <w:t>intended to compensate plaintiff for the loss of peaceful enjoyment of the property. (</w:t>
      </w:r>
      <w:proofErr w:type="spellStart"/>
      <w:r w:rsidRPr="00ED75C5">
        <w:rPr>
          <w:rFonts w:cs="Times New Roman"/>
          <w:bCs/>
          <w:i/>
          <w:iCs/>
          <w:szCs w:val="24"/>
        </w:rPr>
        <w:t>Kornoff</w:t>
      </w:r>
      <w:proofErr w:type="spellEnd"/>
      <w:r w:rsidRPr="00ED75C5">
        <w:rPr>
          <w:rFonts w:cs="Times New Roman"/>
          <w:bCs/>
          <w:i/>
          <w:iCs/>
          <w:szCs w:val="24"/>
        </w:rPr>
        <w:t xml:space="preserve"> v. Kingsburg Cotton Oil Co.</w:t>
      </w:r>
      <w:r w:rsidRPr="0046109F">
        <w:rPr>
          <w:rFonts w:cs="Times New Roman"/>
          <w:bCs/>
          <w:szCs w:val="24"/>
        </w:rPr>
        <w:t xml:space="preserve"> (1955) 45 Cal.2d 265, 273.) These damages are generally related to distress “arising out of physical discomfort, irritation, or inconvenience caused by odors, pests, noise, and the like.” (</w:t>
      </w:r>
      <w:r w:rsidRPr="00ED75C5">
        <w:rPr>
          <w:rFonts w:cs="Times New Roman"/>
          <w:bCs/>
          <w:i/>
          <w:iCs/>
          <w:szCs w:val="24"/>
        </w:rPr>
        <w:t>Kelly v. CB &amp; I Constructors Inc.</w:t>
      </w:r>
      <w:r w:rsidRPr="0046109F">
        <w:rPr>
          <w:rFonts w:cs="Times New Roman"/>
          <w:bCs/>
          <w:szCs w:val="24"/>
        </w:rPr>
        <w:t xml:space="preserve"> (2009) 179 Cal.App.4th 442, 456.)</w:t>
      </w:r>
    </w:p>
    <w:p w14:paraId="06F52CAE" w14:textId="77777777" w:rsidR="003F0E15" w:rsidRDefault="0046109F" w:rsidP="0046109F">
      <w:pPr>
        <w:spacing w:after="264"/>
        <w:ind w:left="1710" w:hanging="360"/>
        <w:rPr>
          <w:rFonts w:cs="Times New Roman"/>
          <w:bCs/>
          <w:szCs w:val="24"/>
        </w:rPr>
      </w:pPr>
      <w:r>
        <w:rPr>
          <w:rFonts w:cs="Times New Roman"/>
          <w:bCs/>
          <w:szCs w:val="24"/>
        </w:rPr>
        <w:t xml:space="preserve">→  </w:t>
      </w:r>
      <w:r w:rsidR="007675DC" w:rsidRPr="007675DC">
        <w:rPr>
          <w:rFonts w:cs="Times New Roman"/>
          <w:bCs/>
          <w:szCs w:val="24"/>
        </w:rPr>
        <w:t>A plaintiff may recover damages for emotional distress and mental anguish proximately caused by a trespass. (</w:t>
      </w:r>
      <w:r w:rsidR="007675DC" w:rsidRPr="007675DC">
        <w:rPr>
          <w:rFonts w:cs="Times New Roman"/>
          <w:bCs/>
          <w:i/>
          <w:iCs/>
          <w:szCs w:val="24"/>
        </w:rPr>
        <w:t>Armitage v. Decker</w:t>
      </w:r>
      <w:r w:rsidR="007675DC" w:rsidRPr="007675DC">
        <w:rPr>
          <w:rFonts w:cs="Times New Roman"/>
          <w:bCs/>
          <w:szCs w:val="24"/>
        </w:rPr>
        <w:t xml:space="preserve"> (1990) 218 Cal.App.3d 887, 905; </w:t>
      </w:r>
      <w:r w:rsidR="007675DC" w:rsidRPr="007675DC">
        <w:rPr>
          <w:rFonts w:cs="Times New Roman"/>
          <w:bCs/>
          <w:i/>
          <w:iCs/>
          <w:szCs w:val="24"/>
        </w:rPr>
        <w:t>Hensley v. San Diego Gas &amp; Elec. Co.</w:t>
      </w:r>
      <w:r w:rsidR="007675DC" w:rsidRPr="007675DC">
        <w:rPr>
          <w:rFonts w:cs="Times New Roman"/>
          <w:bCs/>
          <w:szCs w:val="24"/>
        </w:rPr>
        <w:t xml:space="preserve"> (2017) 7 Cal.App.5th 1337, 1348-1352.) Emotional distress without physical injury is </w:t>
      </w:r>
      <w:r w:rsidR="007675DC">
        <w:rPr>
          <w:rFonts w:cs="Times New Roman"/>
          <w:bCs/>
          <w:szCs w:val="24"/>
        </w:rPr>
        <w:t xml:space="preserve">also </w:t>
      </w:r>
      <w:r w:rsidR="007675DC" w:rsidRPr="007675DC">
        <w:rPr>
          <w:rFonts w:cs="Times New Roman"/>
          <w:bCs/>
          <w:szCs w:val="24"/>
        </w:rPr>
        <w:t>compensable. (</w:t>
      </w:r>
      <w:r w:rsidR="007675DC" w:rsidRPr="007675DC">
        <w:rPr>
          <w:rFonts w:cs="Times New Roman"/>
          <w:bCs/>
          <w:i/>
          <w:iCs/>
          <w:szCs w:val="24"/>
        </w:rPr>
        <w:t>Potter v. Firestone Tire &amp; Rubber Co.</w:t>
      </w:r>
      <w:r w:rsidR="007675DC" w:rsidRPr="007675DC">
        <w:rPr>
          <w:rFonts w:cs="Times New Roman"/>
          <w:bCs/>
          <w:szCs w:val="24"/>
        </w:rPr>
        <w:t xml:space="preserve"> (1993) 6 Cal.4th 965, 986, fn.10.)</w:t>
      </w:r>
    </w:p>
    <w:p w14:paraId="06F59C18" w14:textId="77777777" w:rsidR="003F0E15" w:rsidRDefault="00FD7C76" w:rsidP="00FD7C76">
      <w:pPr>
        <w:spacing w:after="264"/>
        <w:ind w:left="1350" w:hanging="270"/>
        <w:rPr>
          <w:rFonts w:cs="Times New Roman"/>
          <w:bCs/>
          <w:szCs w:val="24"/>
        </w:rPr>
      </w:pPr>
      <w:r>
        <w:rPr>
          <w:rFonts w:cs="Times New Roman"/>
          <w:bCs/>
          <w:szCs w:val="24"/>
        </w:rPr>
        <w:t xml:space="preserve">•   </w:t>
      </w:r>
      <w:r w:rsidR="00822118">
        <w:rPr>
          <w:rFonts w:cs="Times New Roman"/>
          <w:bCs/>
          <w:szCs w:val="24"/>
        </w:rPr>
        <w:t xml:space="preserve">With </w:t>
      </w:r>
      <w:r w:rsidR="00822118">
        <w:rPr>
          <w:rFonts w:cs="Times New Roman"/>
          <w:bCs/>
          <w:i/>
          <w:iCs/>
          <w:szCs w:val="24"/>
        </w:rPr>
        <w:t>continuing</w:t>
      </w:r>
      <w:r w:rsidR="00822118">
        <w:rPr>
          <w:rFonts w:cs="Times New Roman"/>
          <w:bCs/>
          <w:szCs w:val="24"/>
        </w:rPr>
        <w:t xml:space="preserve"> trespasses, </w:t>
      </w:r>
      <w:r w:rsidR="00905151">
        <w:rPr>
          <w:rFonts w:cs="Times New Roman"/>
          <w:bCs/>
          <w:szCs w:val="24"/>
        </w:rPr>
        <w:t>compensatory damages</w:t>
      </w:r>
      <w:r w:rsidR="00822118">
        <w:rPr>
          <w:rFonts w:cs="Times New Roman"/>
          <w:bCs/>
          <w:szCs w:val="24"/>
        </w:rPr>
        <w:t xml:space="preserve"> calculations are different because a plaintiff may only recover damages for </w:t>
      </w:r>
      <w:r w:rsidR="00822118">
        <w:rPr>
          <w:rFonts w:cs="Times New Roman"/>
          <w:bCs/>
          <w:i/>
          <w:iCs/>
          <w:szCs w:val="24"/>
        </w:rPr>
        <w:t>present and past injury to the property</w:t>
      </w:r>
      <w:r w:rsidR="00822118">
        <w:rPr>
          <w:rFonts w:cs="Times New Roman"/>
          <w:bCs/>
          <w:szCs w:val="24"/>
        </w:rPr>
        <w:t xml:space="preserve">. No award may be made for </w:t>
      </w:r>
      <w:r w:rsidR="00822118">
        <w:rPr>
          <w:rFonts w:cs="Times New Roman"/>
          <w:bCs/>
          <w:i/>
          <w:iCs/>
          <w:szCs w:val="24"/>
        </w:rPr>
        <w:t>future or prospective harm</w:t>
      </w:r>
      <w:r w:rsidR="00822118">
        <w:rPr>
          <w:rFonts w:cs="Times New Roman"/>
          <w:bCs/>
          <w:szCs w:val="24"/>
        </w:rPr>
        <w:t xml:space="preserve"> because, as in the case of ongoing nuisances, a continuing trespass can </w:t>
      </w:r>
      <w:r w:rsidR="00822118">
        <w:rPr>
          <w:rFonts w:cs="Times New Roman"/>
          <w:bCs/>
          <w:szCs w:val="24"/>
        </w:rPr>
        <w:lastRenderedPageBreak/>
        <w:t>be abated any time, ending the harm.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&amp;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Cotton Growers v. Aera Energy LLC</w:t>
      </w:r>
      <w:r w:rsidR="00822118">
        <w:rPr>
          <w:rFonts w:cs="Times New Roman"/>
          <w:bCs/>
          <w:szCs w:val="24"/>
        </w:rPr>
        <w:t xml:space="preserve"> (2007) </w:t>
      </w:r>
      <w:r w:rsidR="00822118" w:rsidRPr="00822118">
        <w:rPr>
          <w:rFonts w:cs="Times New Roman"/>
          <w:bCs/>
          <w:szCs w:val="24"/>
        </w:rPr>
        <w:t xml:space="preserve">153 Cal.App.4th </w:t>
      </w:r>
      <w:r w:rsidR="00822118">
        <w:rPr>
          <w:rFonts w:cs="Times New Roman"/>
          <w:bCs/>
          <w:szCs w:val="24"/>
        </w:rPr>
        <w:t xml:space="preserve">583, 592.) </w:t>
      </w:r>
      <w:r w:rsidR="002E6761" w:rsidRPr="002E6761">
        <w:rPr>
          <w:rFonts w:cs="Times New Roman"/>
          <w:bCs/>
          <w:szCs w:val="24"/>
        </w:rPr>
        <w:t>Only the “reasonable” cost of repairing or restoring the property to its original condition is recoverable</w:t>
      </w:r>
      <w:r w:rsidR="002E6761">
        <w:rPr>
          <w:rFonts w:cs="Times New Roman"/>
          <w:bCs/>
          <w:szCs w:val="24"/>
        </w:rPr>
        <w:t>.</w:t>
      </w:r>
      <w:r w:rsidR="002E6761" w:rsidRPr="002E6761">
        <w:rPr>
          <w:rFonts w:cs="Times New Roman"/>
          <w:bCs/>
          <w:szCs w:val="24"/>
        </w:rPr>
        <w:t xml:space="preserve"> (Civ. Code</w:t>
      </w:r>
      <w:r w:rsidR="002E6761">
        <w:rPr>
          <w:rFonts w:cs="Times New Roman"/>
          <w:bCs/>
          <w:szCs w:val="24"/>
        </w:rPr>
        <w:t>,</w:t>
      </w:r>
      <w:r w:rsidR="002E6761" w:rsidRPr="002E6761">
        <w:rPr>
          <w:rFonts w:cs="Times New Roman"/>
          <w:bCs/>
          <w:szCs w:val="24"/>
        </w:rPr>
        <w:t xml:space="preserve"> § 3334(a); </w:t>
      </w:r>
      <w:r w:rsidR="002E6761">
        <w:rPr>
          <w:rFonts w:cs="Times New Roman"/>
          <w:bCs/>
          <w:szCs w:val="24"/>
        </w:rPr>
        <w:t>s</w:t>
      </w:r>
      <w:r w:rsidR="002E6761" w:rsidRPr="002E6761">
        <w:rPr>
          <w:rFonts w:cs="Times New Roman"/>
          <w:bCs/>
          <w:szCs w:val="24"/>
        </w:rPr>
        <w:t xml:space="preserve">ee </w:t>
      </w:r>
      <w:r w:rsidR="002E6761" w:rsidRPr="002E6761">
        <w:rPr>
          <w:rFonts w:cs="Times New Roman"/>
          <w:bCs/>
          <w:i/>
          <w:iCs/>
          <w:szCs w:val="24"/>
        </w:rPr>
        <w:t>Mangini v. Aerojet-General Corp.</w:t>
      </w:r>
      <w:r w:rsidR="002E6761" w:rsidRPr="002E6761">
        <w:rPr>
          <w:rFonts w:cs="Times New Roman"/>
          <w:bCs/>
          <w:szCs w:val="24"/>
        </w:rPr>
        <w:t xml:space="preserve"> (1996) 12 Cal.4th 1087,</w:t>
      </w:r>
      <w:r w:rsidR="002E6761">
        <w:rPr>
          <w:rFonts w:cs="Times New Roman"/>
          <w:bCs/>
          <w:szCs w:val="24"/>
        </w:rPr>
        <w:t xml:space="preserve"> </w:t>
      </w:r>
      <w:r w:rsidR="002E6761" w:rsidRPr="002E6761">
        <w:rPr>
          <w:rFonts w:cs="Times New Roman"/>
          <w:bCs/>
          <w:szCs w:val="24"/>
        </w:rPr>
        <w:t>1103</w:t>
      </w:r>
      <w:r w:rsidR="00713014">
        <w:rPr>
          <w:rFonts w:cs="Times New Roman"/>
          <w:bCs/>
          <w:szCs w:val="24"/>
        </w:rPr>
        <w:t>.)</w:t>
      </w:r>
      <w:r w:rsidR="00822118">
        <w:rPr>
          <w:rFonts w:cs="Times New Roman"/>
          <w:bCs/>
          <w:szCs w:val="24"/>
        </w:rPr>
        <w:t xml:space="preserve"> </w:t>
      </w:r>
    </w:p>
    <w:p w14:paraId="0ADB2160" w14:textId="77777777" w:rsidR="003F0E15" w:rsidRDefault="00B157CF" w:rsidP="00805A7D">
      <w:pPr>
        <w:spacing w:after="264"/>
        <w:ind w:left="1080" w:hanging="360"/>
        <w:rPr>
          <w:rFonts w:cs="Times New Roman"/>
          <w:bCs/>
          <w:szCs w:val="24"/>
        </w:rPr>
      </w:pPr>
      <w:r>
        <w:rPr>
          <w:rFonts w:cs="Times New Roman"/>
          <w:bCs/>
          <w:szCs w:val="24"/>
        </w:rPr>
        <w:t xml:space="preserve">—  </w:t>
      </w:r>
      <w:r w:rsidR="00ED30CD" w:rsidRPr="00ED30CD">
        <w:rPr>
          <w:rFonts w:cs="Times New Roman"/>
          <w:bCs/>
          <w:szCs w:val="24"/>
        </w:rPr>
        <w:t xml:space="preserve">A trespass can be abated by an injunction in </w:t>
      </w:r>
      <w:r w:rsidR="00ED30CD">
        <w:rPr>
          <w:rFonts w:cs="Times New Roman"/>
          <w:bCs/>
          <w:szCs w:val="24"/>
        </w:rPr>
        <w:t>certain</w:t>
      </w:r>
      <w:r w:rsidR="00ED30CD" w:rsidRPr="00ED30CD">
        <w:rPr>
          <w:rFonts w:cs="Times New Roman"/>
          <w:bCs/>
          <w:szCs w:val="24"/>
        </w:rPr>
        <w:t xml:space="preserve"> situations. In cases of encroachment, plaintiff may obtain a mandatory injunction ordering defendant to remove the encroachment. (</w:t>
      </w:r>
      <w:r w:rsidR="00ED30CD" w:rsidRPr="00ED30CD">
        <w:rPr>
          <w:rFonts w:cs="Times New Roman"/>
          <w:bCs/>
          <w:i/>
          <w:iCs/>
          <w:szCs w:val="24"/>
        </w:rPr>
        <w:t>Posey v. Leavitt</w:t>
      </w:r>
      <w:r w:rsidR="00ED30CD" w:rsidRPr="00ED30CD">
        <w:rPr>
          <w:rFonts w:cs="Times New Roman"/>
          <w:bCs/>
          <w:szCs w:val="24"/>
        </w:rPr>
        <w:t xml:space="preserve"> (1991) 229 Cal.App.3d 1236, 1251</w:t>
      </w:r>
      <w:r w:rsidR="00ED30CD">
        <w:rPr>
          <w:rFonts w:cs="Times New Roman"/>
          <w:bCs/>
          <w:szCs w:val="24"/>
        </w:rPr>
        <w:t>[</w:t>
      </w:r>
      <w:r w:rsidR="00ED30CD" w:rsidRPr="00ED30CD">
        <w:rPr>
          <w:rFonts w:cs="Times New Roman"/>
          <w:bCs/>
          <w:szCs w:val="24"/>
        </w:rPr>
        <w:t>condominium owner extended deck into common area</w:t>
      </w:r>
      <w:r w:rsidR="00ED30CD">
        <w:rPr>
          <w:rFonts w:cs="Times New Roman"/>
          <w:bCs/>
          <w:szCs w:val="24"/>
        </w:rPr>
        <w:t xml:space="preserve"> and was ordered to remove it]</w:t>
      </w:r>
      <w:r w:rsidR="00ED30CD" w:rsidRPr="00ED30CD">
        <w:rPr>
          <w:rFonts w:cs="Times New Roman"/>
          <w:bCs/>
          <w:szCs w:val="24"/>
        </w:rPr>
        <w:t>.)</w:t>
      </w:r>
    </w:p>
    <w:p w14:paraId="636BCEB7" w14:textId="77777777" w:rsidR="003F0E15" w:rsidRDefault="00EA0607" w:rsidP="00EA0607">
      <w:pPr>
        <w:spacing w:after="264"/>
        <w:ind w:left="1080" w:hanging="360"/>
        <w:rPr>
          <w:rFonts w:cs="Times New Roman"/>
          <w:bCs/>
          <w:szCs w:val="24"/>
        </w:rPr>
      </w:pPr>
      <w:r>
        <w:rPr>
          <w:rFonts w:cs="Times New Roman"/>
          <w:bCs/>
          <w:szCs w:val="24"/>
        </w:rPr>
        <w:t xml:space="preserve">—  </w:t>
      </w:r>
      <w:r w:rsidRPr="00B157CF">
        <w:rPr>
          <w:rFonts w:cs="Times New Roman"/>
          <w:bCs/>
          <w:szCs w:val="24"/>
        </w:rPr>
        <w:t>For all forms of trespass, punitive damages may be awarded where plaintiff proves by clear and convincing evidence that defendant is guilty of oppression, fraud</w:t>
      </w:r>
      <w:r>
        <w:rPr>
          <w:rFonts w:cs="Times New Roman"/>
          <w:bCs/>
          <w:szCs w:val="24"/>
        </w:rPr>
        <w:t>,</w:t>
      </w:r>
      <w:r w:rsidRPr="00B157CF">
        <w:rPr>
          <w:rFonts w:cs="Times New Roman"/>
          <w:bCs/>
          <w:szCs w:val="24"/>
        </w:rPr>
        <w:t xml:space="preserve"> or malice. (Civ. Code</w:t>
      </w:r>
      <w:r>
        <w:rPr>
          <w:rFonts w:cs="Times New Roman"/>
          <w:bCs/>
          <w:szCs w:val="24"/>
        </w:rPr>
        <w:t>,</w:t>
      </w:r>
      <w:r w:rsidRPr="00B157CF">
        <w:rPr>
          <w:rFonts w:cs="Times New Roman"/>
          <w:bCs/>
          <w:szCs w:val="24"/>
        </w:rPr>
        <w:t xml:space="preserve"> § 3294(a)</w:t>
      </w:r>
      <w:r>
        <w:rPr>
          <w:rFonts w:cs="Times New Roman"/>
          <w:bCs/>
          <w:szCs w:val="24"/>
        </w:rPr>
        <w:t xml:space="preserve">; </w:t>
      </w:r>
      <w:r w:rsidRPr="00192321">
        <w:rPr>
          <w:rFonts w:cs="Times New Roman"/>
          <w:bCs/>
          <w:i/>
          <w:iCs/>
          <w:szCs w:val="24"/>
        </w:rPr>
        <w:t>Hassholdt v. Patrick Media Group Inc.</w:t>
      </w:r>
      <w:r w:rsidRPr="00192321">
        <w:rPr>
          <w:rFonts w:cs="Times New Roman"/>
          <w:bCs/>
          <w:szCs w:val="24"/>
        </w:rPr>
        <w:t xml:space="preserve"> (2000) 84 Cal.App.4th 153, 169.</w:t>
      </w:r>
      <w:r w:rsidRPr="00B157CF">
        <w:rPr>
          <w:rFonts w:cs="Times New Roman"/>
          <w:bCs/>
          <w:szCs w:val="24"/>
        </w:rPr>
        <w:t>)</w:t>
      </w:r>
    </w:p>
    <w:p w14:paraId="5AE6AA70" w14:textId="52455350" w:rsidR="003F0E15" w:rsidRDefault="00D45B7D" w:rsidP="001560A8">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03A2AEA"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EB8FE96" w14:textId="77777777" w:rsidR="003F0E15" w:rsidRDefault="00CE6FC7" w:rsidP="00CE6FC7">
      <w:pPr>
        <w:spacing w:after="264"/>
        <w:ind w:left="1080" w:hanging="360"/>
        <w:rPr>
          <w:rFonts w:cs="Times New Roman"/>
          <w:bCs/>
          <w:szCs w:val="24"/>
        </w:rPr>
      </w:pPr>
      <w:r>
        <w:rPr>
          <w:rFonts w:cs="Times New Roman"/>
          <w:bCs/>
          <w:szCs w:val="24"/>
        </w:rPr>
        <w:t xml:space="preserve">—  </w:t>
      </w:r>
      <w:r w:rsidR="00A3640A" w:rsidRPr="00A3640A">
        <w:rPr>
          <w:rFonts w:cs="Times New Roman"/>
          <w:bCs/>
          <w:szCs w:val="24"/>
        </w:rPr>
        <w:t>The limitations period for a trespass action is generally three years. (Code Civ. Proc.</w:t>
      </w:r>
      <w:r w:rsidR="00A3640A">
        <w:rPr>
          <w:rFonts w:cs="Times New Roman"/>
          <w:bCs/>
          <w:szCs w:val="24"/>
        </w:rPr>
        <w:t>,</w:t>
      </w:r>
      <w:r w:rsidR="00A3640A" w:rsidRPr="00A3640A">
        <w:rPr>
          <w:rFonts w:cs="Times New Roman"/>
          <w:bCs/>
          <w:szCs w:val="24"/>
        </w:rPr>
        <w:t xml:space="preserve"> § 338(b).) When the claim accrues depends on whether the trespass is “permanent” or “continuing.” </w:t>
      </w:r>
    </w:p>
    <w:p w14:paraId="3CBBE324"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permanent trespass</w:t>
      </w:r>
      <w:r w:rsidR="00A3640A" w:rsidRPr="00A3640A">
        <w:rPr>
          <w:rFonts w:cs="Times New Roman"/>
          <w:bCs/>
          <w:szCs w:val="24"/>
        </w:rPr>
        <w:t>, a claim accrues when the trespass occurs. Plaintiff must bring a single action for past, present</w:t>
      </w:r>
      <w:r w:rsidR="00A3640A">
        <w:rPr>
          <w:rFonts w:cs="Times New Roman"/>
          <w:bCs/>
          <w:szCs w:val="24"/>
        </w:rPr>
        <w:t>,</w:t>
      </w:r>
      <w:r w:rsidR="00A3640A" w:rsidRPr="00A3640A">
        <w:rPr>
          <w:rFonts w:cs="Times New Roman"/>
          <w:bCs/>
          <w:szCs w:val="24"/>
        </w:rPr>
        <w:t xml:space="preserve"> and future damages within three years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&amp;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Cotton Growers v. Aera Energy LLC</w:t>
      </w:r>
      <w:r w:rsidR="00A3640A" w:rsidRPr="00A3640A">
        <w:rPr>
          <w:rFonts w:cs="Times New Roman"/>
          <w:bCs/>
          <w:szCs w:val="24"/>
        </w:rPr>
        <w:t xml:space="preserve"> (2007) 153 Cal.App.4th 583, 592.) </w:t>
      </w:r>
    </w:p>
    <w:p w14:paraId="67467F61"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continuing trespass</w:t>
      </w:r>
      <w:r w:rsidR="00A3640A" w:rsidRPr="00A3640A">
        <w:rPr>
          <w:rFonts w:cs="Times New Roman"/>
          <w:bCs/>
          <w:szCs w:val="24"/>
        </w:rPr>
        <w:t xml:space="preserve">, </w:t>
      </w:r>
      <w:r w:rsidR="00A3640A">
        <w:rPr>
          <w:rFonts w:cs="Times New Roman"/>
          <w:bCs/>
          <w:szCs w:val="24"/>
        </w:rPr>
        <w:t xml:space="preserve">a </w:t>
      </w:r>
      <w:r w:rsidR="00A3640A" w:rsidRPr="00A3640A">
        <w:rPr>
          <w:rFonts w:cs="Times New Roman"/>
          <w:bCs/>
          <w:szCs w:val="24"/>
        </w:rPr>
        <w:t>new cause of action accrues each day the trespass continues</w:t>
      </w:r>
      <w:r w:rsidR="00A3640A">
        <w:rPr>
          <w:rFonts w:cs="Times New Roman"/>
          <w:bCs/>
          <w:szCs w:val="24"/>
        </w:rPr>
        <w:t>,</w:t>
      </w:r>
      <w:r w:rsidR="00A3640A" w:rsidRPr="00A3640A">
        <w:rPr>
          <w:rFonts w:cs="Times New Roman"/>
          <w:bCs/>
          <w:szCs w:val="24"/>
        </w:rPr>
        <w:t xml:space="preserve"> and a plaintiff must bring periodic successive actions if the trespass continues without abatement. (</w:t>
      </w:r>
      <w:r w:rsidR="00A3640A" w:rsidRPr="00A3640A">
        <w:rPr>
          <w:rFonts w:cs="Times New Roman"/>
          <w:bCs/>
          <w:i/>
          <w:iCs/>
          <w:szCs w:val="24"/>
        </w:rPr>
        <w:t>Baker v. Burbank-Glendale-Pasadena Airport Auth.</w:t>
      </w:r>
      <w:r w:rsidR="00A3640A" w:rsidRPr="00A3640A">
        <w:rPr>
          <w:rFonts w:cs="Times New Roman"/>
          <w:bCs/>
          <w:szCs w:val="24"/>
        </w:rPr>
        <w:t xml:space="preserve"> (1985) 39 Cal.3d 862, 869.)</w:t>
      </w:r>
    </w:p>
    <w:p w14:paraId="6BEAAFBB" w14:textId="77777777" w:rsidR="003F0E15" w:rsidRDefault="00D205B1" w:rsidP="00D205B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E0ED427" w14:textId="77777777" w:rsidR="003F0E15" w:rsidRDefault="00D205B1" w:rsidP="00D205B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trespass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C7DFE26" w14:textId="77777777" w:rsidR="003F0E15" w:rsidRDefault="00D205B1" w:rsidP="00D205B1">
      <w:pPr>
        <w:spacing w:after="264"/>
        <w:ind w:left="1080" w:hanging="360"/>
        <w:rPr>
          <w:rFonts w:cs="Times New Roman"/>
          <w:bCs/>
          <w:szCs w:val="24"/>
          <w:highlight w:val="green"/>
        </w:rPr>
      </w:pPr>
      <w:r w:rsidRPr="002D206C">
        <w:rPr>
          <w:rFonts w:cs="Times New Roman"/>
          <w:bCs/>
          <w:szCs w:val="24"/>
          <w:highlight w:val="green"/>
        </w:rPr>
        <w:t>—  ***</w:t>
      </w:r>
    </w:p>
    <w:p w14:paraId="6CDB94B7" w14:textId="77777777" w:rsidR="003F0E15" w:rsidRDefault="00D205B1" w:rsidP="00D205B1">
      <w:pPr>
        <w:spacing w:after="264"/>
        <w:ind w:left="720"/>
        <w:rPr>
          <w:rFonts w:cs="Times New Roman"/>
          <w:bCs/>
          <w:szCs w:val="24"/>
        </w:rPr>
      </w:pPr>
      <w:r w:rsidRPr="002D206C">
        <w:rPr>
          <w:rFonts w:cs="Times New Roman"/>
          <w:bCs/>
          <w:szCs w:val="24"/>
          <w:highlight w:val="green"/>
        </w:rPr>
        <w:t>—  ***</w:t>
      </w:r>
      <w:r w:rsidR="003D74F3" w:rsidRPr="009B4639">
        <w:rPr>
          <w:rFonts w:cs="Times New Roman"/>
          <w:bCs/>
          <w:szCs w:val="24"/>
          <w:highlight w:val="green"/>
        </w:rPr>
        <w:t xml:space="preserve"> </w:t>
      </w:r>
    </w:p>
    <w:p w14:paraId="7730B66C"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E2C4093" w14:textId="77777777" w:rsidR="003F0E15" w:rsidRDefault="004D0958" w:rsidP="004D0958">
      <w:pPr>
        <w:spacing w:after="264"/>
        <w:ind w:left="1080" w:hanging="360"/>
        <w:rPr>
          <w:rFonts w:cs="Times New Roman"/>
          <w:bCs/>
          <w:szCs w:val="24"/>
        </w:rPr>
      </w:pPr>
      <w:r>
        <w:rPr>
          <w:rFonts w:cs="Times New Roman"/>
          <w:bCs/>
          <w:szCs w:val="24"/>
          <w:highlight w:val="green"/>
        </w:rPr>
        <w:lastRenderedPageBreak/>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3B8E6E17" w14:textId="77777777" w:rsidR="003F0E15" w:rsidRDefault="004D0958" w:rsidP="00D23C04">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18B4CEB" w14:textId="5CA4DB9C" w:rsidR="003F0E15" w:rsidRPr="00CB2129" w:rsidRDefault="003F0E15" w:rsidP="003F0E15">
      <w:pPr>
        <w:pStyle w:val="Line"/>
        <w:rPr>
          <w:rFonts w:eastAsia="Times New Roman"/>
        </w:rPr>
      </w:pPr>
      <w:r w:rsidRPr="00E9159A">
        <w:t>________________________________</w:t>
      </w:r>
    </w:p>
    <w:bookmarkEnd w:id="28"/>
    <w:p w14:paraId="40867D80" w14:textId="77777777" w:rsidR="003F0E15" w:rsidRDefault="009F7C69" w:rsidP="009F7C69">
      <w:pPr>
        <w:spacing w:after="264"/>
        <w:rPr>
          <w:rFonts w:cs="Times New Roman"/>
          <w:bCs/>
          <w:szCs w:val="24"/>
        </w:rPr>
      </w:pPr>
      <w:r>
        <w:rPr>
          <w:rFonts w:cs="Times New Roman"/>
          <w:bCs/>
          <w:szCs w:val="24"/>
        </w:rPr>
        <w:t>Based upon the allegations made against Client thus far, and based upon the facts and evidence provided by Client and/or reflected in the documents the Firm has received and reviewed, the affirmative defenses discussed below appear to be applicable.</w:t>
      </w:r>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68828F81" w14:textId="77777777" w:rsidR="003F0E15"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bookmarkStart w:id="35" w:name="_Hlk41294021"/>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2D42C1A0" w14:textId="56EB2880" w:rsidR="003F0E15" w:rsidRDefault="008B55CB" w:rsidP="00124867">
      <w:pPr>
        <w:spacing w:after="264"/>
        <w:rPr>
          <w:rFonts w:cs="Times New Roman"/>
          <w:bCs/>
          <w:szCs w:val="24"/>
        </w:rPr>
      </w:pPr>
      <w:r>
        <w:rPr>
          <w:rFonts w:cs="Times New Roman"/>
          <w:bCs/>
          <w:szCs w:val="24"/>
        </w:rPr>
        <w:lastRenderedPageBreak/>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r>
        <w:rPr>
          <w:rFonts w:cs="Times New Roman"/>
          <w:bCs/>
          <w:szCs w:val="24"/>
        </w:rPr>
        <w:t>Article 19.02</w:t>
      </w:r>
      <w:r w:rsidR="00C87DA9" w:rsidRPr="00CB094B">
        <w:rPr>
          <w:rFonts w:cs="Times New Roman"/>
          <w:bCs/>
          <w:szCs w:val="24"/>
        </w:rPr>
        <w:t xml:space="preserve"> of the CC&amp;Rs.</w:t>
      </w:r>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40C3DA71" w:rsidR="003F0E15" w:rsidRDefault="00ED6677" w:rsidP="0059538A">
      <w:pPr>
        <w:pStyle w:val="Heading1"/>
        <w:spacing w:after="264"/>
      </w:pPr>
      <w:r w:rsidRPr="00274E8F">
        <w:fldChar w:fldCharType="begin"/>
      </w:r>
      <w:r w:rsidRPr="00274E8F">
        <w:instrText xml:space="preserve"> LISTNUM LegalDefault \l 2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D41496" w:rsidP="005B2EEB">
      <w:pPr>
        <w:spacing w:after="264"/>
        <w:rPr>
          <w:rFonts w:cs="Times New Roman"/>
          <w:bCs/>
          <w:szCs w:val="24"/>
        </w:rPr>
      </w:pPr>
      <w:r>
        <w:rPr>
          <w:rFonts w:cs="Times New Roman"/>
          <w:bCs/>
          <w:szCs w:val="24"/>
        </w:rPr>
        <w:t>None at this time.</w:t>
      </w:r>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Pr="005052D7" w:rsidRDefault="005052D7" w:rsidP="00EF2F63">
      <w:pPr>
        <w:pStyle w:val="Line"/>
      </w:pPr>
      <w:r w:rsidRPr="005C5314">
        <w:t>________________________________</w:t>
      </w:r>
    </w:p>
    <w:sectPr w:rsidR="005052D7" w:rsidRPr="005052D7"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D58442" w14:textId="77777777" w:rsidR="0020157C" w:rsidRDefault="0020157C" w:rsidP="00123934">
      <w:pPr>
        <w:spacing w:after="264"/>
      </w:pPr>
      <w:r>
        <w:separator/>
      </w:r>
    </w:p>
  </w:endnote>
  <w:endnote w:type="continuationSeparator" w:id="0">
    <w:p w14:paraId="33C7AA7B" w14:textId="77777777" w:rsidR="0020157C" w:rsidRDefault="0020157C"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D41496" w:rsidP="00BA614F">
          <w:pPr>
            <w:pStyle w:val="Footer"/>
            <w:spacing w:after="264"/>
            <w:jc w:val="right"/>
            <w:rPr>
              <w:rFonts w:cs="Times New Roman"/>
              <w:sz w:val="18"/>
              <w:szCs w:val="18"/>
            </w:rPr>
          </w:pPr>
          <w:r>
            <w:rPr>
              <w:rFonts w:cs="Times New Roman"/>
              <w:sz w:val="18"/>
              <w:szCs w:val="18"/>
            </w:rPr>
            <w:t>Carl v. Balboa Place HOA / Elyse</w:t>
          </w:r>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8317E" w14:textId="77777777" w:rsidR="0020157C" w:rsidRDefault="0020157C" w:rsidP="00123934">
      <w:pPr>
        <w:spacing w:after="264"/>
      </w:pPr>
      <w:r>
        <w:separator/>
      </w:r>
    </w:p>
  </w:footnote>
  <w:footnote w:type="continuationSeparator" w:id="0">
    <w:p w14:paraId="4678DFEA" w14:textId="77777777" w:rsidR="0020157C" w:rsidRDefault="0020157C"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9180E"/>
    <w:rsid w:val="00791E70"/>
    <w:rsid w:val="0079346F"/>
    <w:rsid w:val="0079479F"/>
    <w:rsid w:val="0079639B"/>
    <w:rsid w:val="007977CB"/>
    <w:rsid w:val="00797B83"/>
    <w:rsid w:val="007A1B9E"/>
    <w:rsid w:val="007A5F70"/>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A027D"/>
    <w:rsid w:val="002B68EA"/>
    <w:rsid w:val="003115CF"/>
    <w:rsid w:val="00314140"/>
    <w:rsid w:val="00371F05"/>
    <w:rsid w:val="003A161E"/>
    <w:rsid w:val="003A6806"/>
    <w:rsid w:val="003B3233"/>
    <w:rsid w:val="003C22D2"/>
    <w:rsid w:val="003F7053"/>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485D"/>
    <w:rsid w:val="006F1DB1"/>
    <w:rsid w:val="006F3F49"/>
    <w:rsid w:val="00713D38"/>
    <w:rsid w:val="00772F45"/>
    <w:rsid w:val="007D0D72"/>
    <w:rsid w:val="007F7FF8"/>
    <w:rsid w:val="00852D0C"/>
    <w:rsid w:val="0086252B"/>
    <w:rsid w:val="008B6DCE"/>
    <w:rsid w:val="008C035E"/>
    <w:rsid w:val="008C1D89"/>
    <w:rsid w:val="00905FE5"/>
    <w:rsid w:val="00911FB6"/>
    <w:rsid w:val="00923528"/>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F4E23"/>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6028"/>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556"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B1D3B4C-EF8E-4DDC-B904-F605D882CDB1}">
  <we:reference id="05c2e1c9-3e1d-406e-9a91-e9ac64854110" version="1.0.0.0" store="\\fs01\MKushner\Flow_Docs" storeType="Filesystem"/>
  <we:alternateReferences/>
  <we:properties>
    <we:property name="questions" value="[{&quot;label&quot;:&quot;What is Client's ID number in Clio? SEE HELP ( ? ) KEY FOR FORMATTING INSTRUCTIONS&quot;,&quot;id&quot;:&quot;text_client_id&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lt;strong style=\&quot;color: rgb(0, 102, 204);\&quot;&gt;Put the Clio Client ID, and then in parenthesis put the Client's short name we use at the Firm&lt;/strong&gt;&lt;span style=\&quot;color: rgb(0, 102, 204);\&quot;&gt;.&lt;/span&gt;&lt;/p&gt;&lt;p&gt;&lt;strong style=\&quot;color: rgb(0, 102, 204);\&quot;&gt;So, for example, if we were doing Joimax-Gen Corp, whose Client ID in Clio happens to be 00117, you'd put:&lt;/strong&gt;&lt;/p&gt;&lt;ul&gt;&lt;li&gt;&lt;span style=\&quot;color: rgb(0, 102, 204);\&quot;&gt;00117 (Joimax-Gen Corp)&lt;/span&gt;&lt;/li&gt;&lt;/ul&gt;&quot;},{&quot;label&quot;:&quot;THINGS YOU SHOULD KNOW IN RESPONDING TO THIS QUESTIONNAIRE..........PLEASE SEE HELP ( ? ) KEY FOR DETAILS&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Endgame, the Prelim. Analysis will NOT be completed simply by completing the Questionnaire&lt;/strong&gt;. Please, therefore, be mindful of the first point in &lt;span style=\&quot;color: rgb(230, 0, 0);\&quot;&gt;red&lt;/span&gt; above.&lt;/li&gt;&lt;li&gt;When you're asked to provide a long answer (as opposed to answering \&quot;Yes\&quot; / \&quot;No,\&quot; or selecting from a list of choices), make sure that you remain mindful of your grammar, spelling, syntax, etc. because everything you type will appear in the Prelim. Analysis exactly as you typed it. If you want to provide the long answer at a later time, then put a placeholder (e.g., ***) and move on with the Questionnaire.&lt;/li&gt;&lt;li&gt;If you are cutting and pasting from \&quot;snippets\&quot; you've previously prepared (or, even though this should NEVER happen, directly from Westlaw), make sure that you &lt;strong style=\&quot;color: rgb(0, 102, 204);\&quot;&gt;PASTE SPECIAL (press Ctrl + Alt + V, and then select \&quot;Unformatted Unicode Text\&quot;)&lt;/strong&gt;. I don't want different fonts or font sizes splashed to appear. This document must be consistent in its appearance.&lt;strong&gt; In other words, maintain the existing formatting, fonts, and look of this document.&lt;/strong&gt;&lt;/li&gt;&lt;li&gt;&lt;span style=\&quot;color: rgb(230, 0, 0);\&quot;&gt;As soon as you're finished with the Prelim. Analysis, MAKE SURE THAT YOU PDF THE DOCUMENT&lt;/span&gt;&lt;strong&gt; &lt;/strong&gt;and name it according to the file-naming protocols at the Firm. And if you update the Prelim. Analysis at a later date, MAKE SURE THAT YOU PDF THAT UPDATE and name it appropriately. &lt;/li&gt;&lt;li&gt;After you're done, and after you've generated the document, you'll find text highlighted in &lt;strong style=\&quot;color: rgb(0, 138, 0);\&quot;&gt;GREEN&lt;/strong&gt;. &lt;strong style=\&quot;color: rgb(0, 138, 0);\&quot;&gt;GREEN highlighted text &lt;/strong&gt;means that you must first READ the material highlighted, and then REPLACE the text that is highlighted with text per the instructions.&lt;/li&gt;&lt;/ul&gt;&lt;p&gt;&lt;strong&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true,&quot;is_required&quot;:false,&quot;conditions_advanced&quot;:&quot;{% showif always %}&quot;},{&quot;label&quot;:&quot;What is the \&quot;short name\&quot; of the case/matter?&quot;,&quot;id&quot;:&quot;text_matter_name_question&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153, 51, 255);\&quot;&gt;Thomas Bahr&lt;/span&gt;&lt;/li&gt;&lt;li&gt;&lt;span style=\&quot;color: rgb(153, 51, 255);\&quot;&gt;Bruce Wayne&lt;/span&gt;&lt;/li&gt;&lt;li&gt;&lt;span style=\&quot;color: rgb(153, 51, 255);\&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quot;,&quot;id&quot;:&quot;text_matter_name_disput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0, 102, 204);\&quot;&gt;Our Client's name should ALWAYS come first. If we're the \&quot;defendant\&quot; or \&quot;respondent,\&quot; then use \&quot;adv.\&quot;&lt;/span&gt;&lt;/p&gt;&lt;p&gt;&lt;span style=\&quot;color: rgb(153, 51, 255);\&quot;&gt;For example, since there's an actual dispute of some sort pending, you might put::&lt;/span&gt;&lt;/p&gt;&lt;ul&gt;&lt;li&gt;&lt;span style=\&quot;color: rgb(153, 51, 255);\&quot;&gt;Bahr v. Shorecliffs HOA&lt;/span&gt;&lt;/li&gt;&lt;li&gt;&lt;span style=\&quot;color: rgb(153, 51, 255);\&quot;&gt;Mumm v. Meadow-Quail Rd HOA&lt;/span&gt;&lt;/li&gt;&lt;li&gt;&lt;span style=\&quot;color: rgb(153, 51, 255);\&quot;&gt;Kent v. Miller&lt;/span&gt;&lt;/li&gt;&lt;li&gt;&lt;span style=\&quot;color: rgb(153, 51, 255);\&quot;&gt;Jordan adv. Dr. Octopus&lt;/span&gt;&lt;/li&gt;&lt;li&gt;&lt;span style=\&quot;color: rgb(153, 51, 255);\&quot;&gt;Wayne adv. Gotham Heights HOA&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If our Client is an &lt;span style=\&quot;color: rgb(0, 102, 204);\&quot;&gt;INDIVIDUAL&lt;/span&gt;, then provide his or her &lt;span style=\&quot;color: rgb(0, 102, 204);\&quot;&gt;FIRST&lt;/span&gt; and &lt;span style=\&quot;color: rgb(0, 102, 204);\&quot;&gt;LAST&lt;/span&gt; name.&lt;/p&gt;&lt;p&gt;If our Client is an &lt;span style=\&quot;color: rgb(0, 102, 204);\&quot;&gt;ENTITY&lt;/span&gt;, then provide the full legal name after you've confirmed it with the Secretary of State's website.&lt;/p&gt;&quot;},{&quot;label&quot;:&quot;Was Client an HOA board member at any time relevant to the dispute at issue?&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lt;/p&gt;&quot;},{&quot;label&quot;:&quot;Was Client (or is Client still) an HOA board member at any time relevant to the questions/issues addressed in this Preliminary Analysis?&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INSTRUCTIONS&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should consist of the no more than FOUR paragraphs—one for each of the following: &lt;/p&gt;&lt;ul&gt;&lt;li&gt;&lt;strong style=\&quot;color: rgb(0, 102, 204);\&quot;&gt;(i) the nature of the underlying dispute (including the parties, county where property is located, approx.. dates, if relevant, and what happened, or is happening); &lt;/strong&gt;&lt;/li&gt;&lt;li&gt;&lt;strong style=\&quot;color: rgb(0, 102, 204);\&quot;&gt;(ii) Client’s desired outcome;&lt;/strong&gt;&lt;/li&gt;&lt;li&gt;&lt;strong style=\&quot;color: rgb(0, 102, 204);\&quot;&gt;(iii) Client’s potential valid claims/defenses;  &lt;/strong&gt;&lt;/li&gt;&lt;li&gt;&lt;strong style=\&quot;color: rgb(0, 102, 204);\&quot;&gt;(iv) the strengths/weaknesses of each of those potential claims/defenses. &lt;/strong&gt;&lt;/li&gt;&lt;/ul&gt;&lt;p&gt;This summary should NOT include all the facts and/or evidence that you’ll describe in a different section of this Prelim. Analysis. &lt;strong&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Please provide a SHORT SUMMARY of the questions/issues presented by Client. SEE HELP ( ? ) FOR INSTRUCTIONS&quot;,&quot;id&quot;:&quot;textarea_short_summary_question&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This summary should consist of the &lt;em&gt;no more than&lt;/em&gt; THREE paragraphs—one for each of the following: &lt;/p&gt;&lt;ul&gt;&lt;li&gt;&lt;strong style=\&quot;color: rgb(0, 102, 204);\&quot;&gt;(i) the nature of the underlying issues/questions that Client wants analyzed/answered; &lt;/strong&gt;&lt;/li&gt;&lt;li&gt;&lt;strong style=\&quot;color: rgb(0, 102, 204);\&quot;&gt;(ii) Client’s desired outcome (where applicable); and&lt;/strong&gt;&lt;/li&gt;&lt;li&gt;&lt;strong style=\&quot;color: rgb(0, 102, 204);\&quot;&gt;(iii) potential use or context that our analysis or responses might be helpful to Client.  &lt;/strong&gt;&lt;/li&gt;&lt;/ul&gt;&lt;p&gt;This is just a brief summary. &lt;strong&gt;KEEP THIS SHORT.&lt;/strong&gt;&lt;/p&gt;&lt;p&gt;&lt;span style=\&quot;color: rgb(230, 0, 0);\&quot;&gt;&lt;span class=\&quot;ql-cursor\&quot;&gt;﻿﻿﻿﻿&lt;/span&gt;If you're not ready to prepare a Summary, just put \&quot;***\&quot; and move on with the Questionnaire. &lt;/span&gt;&lt;span style=\&quot;color: rgb(74, 74, 74); background-color: rgb(255, 255, 255);\&quot;&gt;You'll then be able to add the summary at your leisure once the Word document is generated and saved.&lt;/span&gt;&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0, 102, 204);\&quot;&gt;IF OUR CLIENT IS THE ONLY \&quot;PARTY\&quot; TO BE LISTED&lt;/strong&gt;—e.g., Client might just want &lt;span style=\&quot;background-color: rgb(255, 255, 255);\&quot;&gt;a legal issue looked at, but there is not necessarily a \&quot;dispute\&quot; pending or other parties involved—&lt;/span&gt;&lt;strong style=\&quot;color: rgb(0, 102, 204); background-color: rgb(255, 255, 255);\&quot;&gt;then choose \&quot;1.\&quot;&lt;/strong&gt;&lt;/p&gt;&lt;p&gt;If there are &lt;em&gt;&lt;u&gt;more&lt;/u&gt;&lt;/em&gt; than SIX, then you can add them manually once you generate the document.&lt;/p&gt;&lt;p&gt;&lt;span style=\&quot;color: rgb(153, 51, 255);\&quot;&gt;For example, if there's a dispute involving our Client and the HOA, you'll select \&quot;2.\&quot;&lt;/span&gt;&lt;/p&gt;&quot;},{&quot;label&quot;:&quot;What is party #2’s full name and “short name”? SEE HELP ( ? ) KEY FOR INSTRUCTIONS&quot;,&quot;id&quot;:&quot;text_party_two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3’s full name and “short name”? SEE HELP ( ? ) KEY FOR INSTRUCTIONS&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party #3.&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4’s full name and “short name”? SEE HELP ( ? ) KEY FOR INSTRUCTIONS&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party #4.&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5’s full name and “short name”? SEE HELP ( ? ) KEY FOR INSTRUCTIONS&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party #5.&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6’s full name and “short name”? SEE HELP ( ? ) KEY FOR INSTRUCTIONS&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party #6.&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o you want to take this opportunity to enter any of those items/issues that require clarification or further follow up from Client (as opposed to waiting until later)?&quot;,&quot;id&quot;:&quot;yn_includ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quot;,&quot;description&quot;:&quot;&lt;p&gt;&lt;strong&gt;If you don't want to enter such data now, and instead would rather wait until later, then select \&quot;No.\&quot; &lt;/strong&gt;&lt;/p&gt;&lt;p&gt;&lt;span style=\&quot;color: rgb(0, 102, 204);\&quot;&gt;You will only be permitted to enter up to FOUR distinct items/issues.&lt;/span&gt; If you have more, you’ll need to adjust the completed document after completing and saving the Questionnaire and then running the Preliminary Analysis.&lt;/p&gt;&quot;},{&quot;label&quot;:&quot;Enter your first item/issue that requires clarification or further follow up from Client. SEE HELP ( ? ) KEY FOR GUIDANCE ON HOW TO RESPOND&quot;,&quot;id&quot;:&quot;text_more_info_on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include_info_from_client == \&quot;Yes\&quot; %}&quot;,&quot;description&quot;:&quot;&lt;p&gt;&lt;strong&gt;Please use proper grammar, syntax, and punctuation because what you enter here will go directly into the document. &lt;/strong&gt;&lt;/p&gt;&lt;p&gt;Here are some examples of what you might enter:&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include_info_from_client == \&quot;Yes\&quot; %}&quot;},{&quot;label&quot;:&quot;Enter your second item/issue that requires clarification or further follow up from Client. SEE HELP ( ? ) KEY FOR GUIDANCE ON HOW TO RESPOND&quot;,&quot;id&quot;:&quot;text_more_info_two&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secon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second == \&quot;Yes\&quot; %}&quot;},{&quot;label&quot;:&quot;Enter your third item/issue that requires clarification or further follow up from Client. SEE HELP ( ? ) KEY FOR GUIDANCE ON HOW TO RESPOND&quot;,&quot;id&quot;:&quot;text_more_info_thre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fourth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lt;p&gt;&lt;strong style=\&quot;color: rgb(0, 102, 204); background-color: rgb(255, 255, 255);\&quot;&gt;If you have more than four, you’ll need to add them manually once you finish and save the Questionnaire and then run the document. &lt;/strong&gt;&lt;/p&gt;&quot;},{&quot;label&quot;:&quot;Did MBK Chapman or Client send out a Civil Code § 5200 demand?&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escribe the FIRST document/set of documents that we’d like Client to provide the Firm. SEE HELP ( ? ) KEY FOR GUIDANCE ON HOW TO RESPOND&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label&quot;:&quot;Describe the SECOND document/set of documents that we’d like Client to provide the Firm. SEE HELP ( ? ) KEY FOR GUIDANCE ON HOW TO RESPOND&quot;,&quot;id&quot;:&quot;text_more_docs_two&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secon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 SEE HELP ( ? ) KEY FOR GUIDANCE ON HOW TO RESPOND&quot;,&quot;id&quot;:&quot;text_more_docs_three&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thir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KEY FOR GUIDANCE ON HOW TO RESPOND&quot;,&quot;id&quot;:&quot;text_more_docs_four&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fourth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lt;p&gt;&lt;strong style=\&quot;color: rgb(0, 102, 204); background-color: rgb(255, 255, 255);\&quot;&gt;If you have more than four, you’ll need to add them manually once you finish and save the Questionnaire and then run the document. &lt;/strong&gt;&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02, 204);\&quot;&gt;If our Client is a \&quot;Defendant/Respondent\&quot; AND intends upon filing a &lt;/span&gt;&lt;u style=\&quot;color: rgb(0, 102, 204);\&quot;&gt;cross-claim&lt;/u&gt;&lt;span style=\&quot;color: rgb(0, 102, 204);\&quot;&gt; (or cross-ADR Demand), then select \&quot;&lt;/span&gt;&lt;u style=\&quot;color: rgb(0, 102, 204);\&quot;&gt;Defendant/Respondent&lt;/u&gt;&lt;span style=\&quot;color: rgb(0, 102, 204);\&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radio_client_plaintiff_defendant == \&quot;Plaintiff/Petitioner\&quot; %}&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FORMATTING&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lt;span style=\&quot;color: rgb(0, 102, 204);\&quot;&gt;It doesn't matter what you write here, or how you organize it, because you're going to need to make adjustments within the Word document anyway.&lt;/span&gt;&lt;/p&gt;&lt;p&gt;&lt;span style=\&quot;color: rgb(0, 138, 0);\&quot;&gt;In fact, you can even respond here by just putting \&quot;****\&quot; as a placeholder.&lt;/span&gt;&lt;/p&gt;&lt;p&gt;&lt;strong style=\&quot;color: rgb(230, 0, 0);\&quot;&gt;So, after entering data here, be sure to follow the instructions in the document.&lt;/strong&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 style=\&quot;color: rgb(0, 102, 204);\&quot;&gt;we would probably want to file a Motion to Dismiss based on a lack of standing argument under Civil Code section 5975&lt;/strong&gt;&lt;span style=\&quot;color: rgb(95, 99, 100);\&quot;&gt; &lt;/span&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pan style=\&quot;color: rgb(0, 102, 204);\&quot;&gt;A \&quot;Yes\&quot; response means that during your review of Client's case/information, no new conflicts of interest came to light.&lt;/span&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is the FIRST and LAST name of the KC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KC Pre-Lit&quot;,&quot;id&quot;:&quot;preliminary_analysis_hoa_kc_pre_lit&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05C407D8-1F82-47D6-BDD9-61B9D8F0E13E}">
  <we:reference id="05c2e1c9-3e1d-406e-9a91-e9ac64854143" version="1.0.0.0" store="\\WWUDELLDESK\Manifest" storeType="Filesystem"/>
  <we:alternateReferences/>
  <we:properties>
    <we:property name="questions" value="[{&quot;label&quot;:&quot;What is Client's ID number in Clio? SEE HELP ( ? ) KEY FOR FORMATTING INSTRUCTIONS&quot;,&quot;id&quot;:&quot;text_client_id&quot;,&quot;placeholder&quot;:&quot;00117 (Joimax-Gen Corp)&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Put the Clio Client ID.&lt;/p&gt;&lt;p&gt;In parenthesis next to the Client ID, include a short name for the Client.&lt;/p&gt;&lt;p&gt;In cases where Client has more than one matter with us (e.g., litigation and Gen Corp), you'd add a &lt;em&gt;matter&lt;/em&gt; identifier.&lt;/p&gt;&lt;p&gt;See the examples below:&lt;/p&gt;&lt;ul&gt;&lt;li&gt;&lt;span style=\&quot;color: rgb(0, 102, 204);\&quot;&gt;0287 (Robinson)&lt;/span&gt;&lt;/li&gt;&lt;li&gt;&lt;span style=\&quot;color: rgb(0, 102, 204);\&quot;&gt;0505 (Williams)&lt;/span&gt;&lt;/li&gt;&lt;li&gt;&lt;span style=\&quot;color: rgb(0, 102, 204);\&quot;&gt;00117 (Joimax-Gen Corp)&lt;/span&gt;&lt;/li&gt;&lt;/ul&gt;&lt;p&gt;Including the Client's name (and where applicable, matter identifier) will make it possible for MBK to locate this specific Questionnaire in the future (when there will be thousands of documents in the database) if you ever need to run the document again from the Questionnaire.&lt;/p&gt;&quot;},{&quot;label&quot;:&quot;YOU MUST CLICK ON THE QUESTION MARK BEFORE CONTINUING WITH THIS QUESTIONNAIRE. &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my Endgame software (like this document), the Prelim. Analysis will NOT be completed simply by completing the Questionnaire&lt;/strong&gt;. Rather, you will need to save the document in the Atty-Client file of the applicable Client and then edit the Word document you saved. &lt;/li&gt;&lt;li&gt;If a question asks you to refer to the help (?) key for formatting instructions or guidance, then please follow those instructions. Those instructions will provide you with critical grammatical or formatting information that you need to be aware of in responding to the question.&lt;/li&gt;&lt;li&gt;If you're unable (or not ready) to provide a response to a question that asks you to type a \&quot;text\&quot; response, then type \&quot;TBD\&quot; and move on. But make sure you find your \&quot;TBDs\&quot; in the document and highlight them so that you don't forget to get back to them later. &lt;/li&gt;&lt;li&gt;&lt;strong style=\&quot;color: rgb(230, 0, 0);\&quot;&gt;As soon as you're finished with the Prelim. Analysis, MAKE SURE THAT YOU PDF THE DOCUMENT&lt;/strong&gt;&lt;strong&gt; &lt;/strong&gt;and name it according to the file-naming protocols at the Firm. And if you update the Prelim. Analysis at a later date, MAKE SURE THAT YOU PDF THAT UPDATE and name it appropriately. &lt;strong&gt;There can and will often be multiple versions of the Prelim. Analysis.&lt;/strong&gt; Each of them will have a different name (because of the date code requirements for naming documents), and each of them should be PDF when completed.&lt;/li&gt;&lt;li&gt;After you're done, and after you've generated the document, you'll find text &lt;strong style=\&quot;color: rgb(0, 138, 0);\&quot;&gt;highlighted in GREEN&lt;/strong&gt;. &lt;strong style=\&quot;color: rgb(0, 138, 0);\&quot;&gt;GREEN highlighted text &lt;/strong&gt;means that you must first READ the material highlighted, and then REPLACE the text that is highlighted with text per the instructions. There shouldn't be any highlighted text in a completed Prelim. Analysis.&lt;/li&gt;&lt;/ul&gt;&lt;p&gt;&lt;strong style=\&quot;color: rgb(230, 0, 0);\&quot;&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false,&quot;is_required&quot;:false,&quot;conditions_advanced&quot;:&quot;{% showif always %}&quot;},{&quot;label&quot;:&quot;What is the \&quot;short name\&quot; of the case/matter? SEE HELP (?) FOR GUIDANCE&quot;,&quot;id&quot;:&quot;text_matter_name_ques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0, 102, 204);\&quot;&gt;Thomas Bahr&lt;/span&gt;&lt;/li&gt;&lt;li&gt;&lt;span style=\&quot;color: rgb(0, 102, 204);\&quot;&gt;Bruce Wayne&lt;/span&gt;&lt;/li&gt;&lt;li&gt;&lt;span style=\&quot;color: rgb(0, 102, 204);\&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 SEE HELP (?) FOR GUIDANCE&quot;,&quot;id&quot;:&quot;text_matter_name_disput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230, 0, 0);\&quot;&gt;Our Client's name should ALWAYS come first. If we're the \&quot;defendant\&quot; or \&quot;respondent,\&quot; then use \&quot;adv.\&quot;&lt;/span&gt;&lt;/p&gt;&lt;p&gt;&lt;span style=\&quot;color: rgb(0, 102, 204);\&quot;&gt;For example, since there's an actual dispute of some sort pending, you might put::&lt;/span&gt;&lt;/p&gt;&lt;ul&gt;&lt;li&gt;&lt;span style=\&quot;color: rgb(0, 102, 204);\&quot;&gt;Bahr v. Shorecliffs HOA&lt;/span&gt;&lt;/li&gt;&lt;li&gt;&lt;span style=\&quot;color: rgb(0, 102, 204);\&quot;&gt;Mumm v. Meadow-Quail Rd HOA&lt;/span&gt;&lt;/li&gt;&lt;li&gt;&lt;span style=\&quot;color: rgb(0, 102, 204);\&quot;&gt;Kent v. Miller&lt;/span&gt;&lt;/li&gt;&lt;li&gt;&lt;span style=\&quot;color: rgb(0, 102, 204);\&quot;&gt;Jordan adv. Dr. Octopus&lt;/span&gt;&lt;/li&gt;&lt;li&gt;&lt;span style=\&quot;color: rgb(0, 102, 204);\&quot;&gt;Wayne adv. Gotham Heights HOA&lt;/span&gt;&lt;span class=\&quot;ql-cursor\&quot;&gt;﻿&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quot;description&quot;:&quot;&lt;p&gt;If our Client is an &lt;span style=\&quot;color: rgb(0, 138, 0);\&quot;&gt;INDIVIDUAL&lt;/span&gt;, then provide his or her &lt;span style=\&quot;color: rgb(0, 138, 0);\&quot;&gt;FIRST&lt;/span&gt; and &lt;span style=\&quot;color: rgb(0, 138, 0);\&quot;&gt;LAST&lt;/span&gt; name.&lt;/p&gt;&lt;p&gt;If our Client is an &lt;span style=\&quot;color: rgb(153, 51, 255);\&quot;&gt;ENTITY&lt;/span&gt;, then provide the &lt;span style=\&quot;color: rgb(153, 51, 255);\&quot;&gt;full legal name of the entity&lt;/span&gt; (after you've confirmed it with the Secretary of State's website).&lt;/p&gt;&quot;},{&quot;label&quot;:&quot;Is Client in possession of any documents that might be deemed privileged (e.g., Client is, was, or knows a board member)?&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 (e.g., attorney-client).&lt;/p&gt;&lt;p&gt;If you respond \&quot;Yes,\&quot; then a section will be included in the Prelim. Analysis discussing the nature of the privilege and the limitations that YOU and our Client are bound by.&lt;/p&gt;&quot;},{&quot;label&quot;:&quot;Is Client in possession of any documents that might be deemed privileged (e.g., Client is, was, or knows a board member)?&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GUIDANCE&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will typically address the following TWO items: &lt;/p&gt;&lt;ul&gt;&lt;li&gt;&lt;strong style=\&quot;color: rgb(0, 138, 0);\&quot;&gt;The nature of the underlying dispute (including the parties, county where property is located, approx. dates, if relevant, and what happened, or is happening).&lt;/strong&gt;&lt;/li&gt;&lt;li&gt;&lt;strong style=\&quot;color: rgb(0, 138, 0);\&quot;&gt;Client’s potential valid claims/defenses (in a baby-roman list).  &lt;/strong&gt;&lt;/li&gt;&lt;/ul&gt;&lt;p&gt;This summary should &lt;strong&gt;NOT&lt;/strong&gt; include all the facts and/or evidence that you’ll describe in a different section of this Prelim. Analysis. &lt;strong&gt;In other words, KEEP THIS SUMMARY RELATIVELY SHORT.&lt;/strong&gt;&lt;/p&gt;&lt;p&gt;&lt;span style=\&quot;color: rgb(230, 0, 0);\&quot;&gt;If you're not ready to prepare a Summary, just put \&quot;***\&quot; and move on with the Questionnaire. &lt;/span&gt;You'll then be able to add the summary at a later time once the Word document is generated and saved.&lt;/p&gt;&quot;},{&quot;label&quot;:&quot;Please provide a SHORT SUMMARY of the questions/issues presented by Client. SEE HELP ( ? ) FOR GUIDANCE&quot;,&quot;id&quot;:&quot;textarea_short_summary_question&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Make sure your summary addresses both of the following items::&lt;/p&gt;&lt;ul&gt;&lt;li&gt;&lt;strong style=\&quot;color: rgb(0, 138, 0);\&quot;&gt;The issue/question brought to us by Client.&lt;/strong&gt;&lt;/li&gt;&lt;li&gt;&lt;strong style=\&quot;color: rgb(0, 138, 0);\&quot;&gt;The facts (including the parties, county where property is located, approx. dates, if relevant, and relevant events).&lt;/strong&gt;&lt;/li&gt;&lt;/ul&gt;&lt;p&gt;This summary should NOT include all the facts and/or evidence that you’ll describe in a different section of this Preliminary Analysis. &lt;/p&gt;&lt;p&gt;&lt;strong style=\&quot;color: rgb(54, 54, 54);\&quot;&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230, 0, 0);\&quot;&gt;IF OUR CLIENT IS THE ONLY \&quot;PARTY\&quot; TO BE LISTED&lt;/strong&gt;&lt;span style=\&quot;color: rgb(230, 0, 0);\&quot;&gt;—&lt;/span&gt;e.g., Client might just want &lt;span style=\&quot;background-color: rgb(255, 255, 255);\&quot;&gt;a legal issue looked at, but there is not necessarily a \&quot;dispute\&quot; pending or other parties involved—&lt;/span&gt;&lt;strong style=\&quot;background-color: rgb(255, 255, 255); color: rgb(230, 0, 0);\&quot;&gt;THEN CHOOSE \&quot;1.\&quot;&lt;/strong&gt;&lt;/p&gt;&lt;p&gt;&lt;strong style=\&quot;color: rgb(230, 0, 0);\&quot;&gt;If there are &lt;em&gt;&lt;u&gt;more&lt;/u&gt;&lt;/em&gt; than SIX&lt;/strong&gt;&lt;span style=\&quot;color: rgb(230, 0, 0);\&quot;&gt;—&lt;/span&gt;then you can add them manually once you generate the document.&lt;/p&gt;&lt;p&gt;&lt;span style=\&quot;color: rgb(0, 102, 204);\&quot;&gt;For example, if there's a dispute involving our Client and the HOA, you'll select \&quot;2.\&quot;&lt;/span&gt;&lt;/p&gt;&quot;},{&quot;label&quot;:&quot;What is party #2’s full name and “short name”? SEE HELP ( ? ) KEY FOR GUIDANCE&quot;,&quot;id&quot;:&quot;text_party_two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3’s full name and “short name”? SEE HELP ( ? ) KEY FOR GUIDANCE&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lt;u&gt;party #3&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4’s full name and “short name”? SEE HELP ( ? ) KEY FOR GUIDANCE&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lt;u&gt;party #4&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5’s full name and “short name”? SEE HELP ( ? ) KEY FOR GUIDANCE&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lt;u&gt;party #5&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6’s full name and “short name”? SEE HELP ( ? ) KEY FOR GUIDANCE&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lt;u&gt;party #2&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description&quot;:&quot;&lt;p&gt;&lt;strong style=\&quot;color: rgb(54, 54, 54);\&quot;&gt;If you don't want to enter such data now, and instead would rather wait until later, then select \&quot;No.\&quot; &lt;/strong&gt;&lt;/p&gt;&lt;p&gt;&lt;span style=\&quot;color: rgb(230, 0, 0);\&quot;&gt;You will only be permitted to enter up to FOUR distinct items/issues.&lt;/span&gt; If you have more, you’ll need to adjust the completed document after generating the Preliminary Analysis.&lt;/p&gt;&quot;},{&quot;label&quot;:&quot;Enter your first item/issue that requires clarification or further follow up from Client. SEE HELP ( ? ) KEY FOR FORMATTING INSTRUCTIONS&quot;,&quot;id&quot;:&quot;text_more_info_on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need_more_info_from_client == \&quot;Yes\&quot; %}\n&quot;,&quot;description&quot;:&quot;&lt;p&gt;&lt;strong style=\&quot;color: rgb(230, 0, 0);\&quot;&gt;Please use proper grammar, syntax, and punctuation because what you enter here will go directly into the document. &lt;/strong&gt;&lt;/p&gt;&lt;p&gt;Here are some examples of what you might enter:&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n&quot;},{&quot;label&quot;:&quot;Enter your second item/issue that requires clarification or further follow up from Client. SEE HELP ( ? ) KEY FOR FORMATTING INSTRUCTIONS&quot;,&quot;id&quot;:&quot;text_more_info_two&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second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more_info_want_second == \&quot;Yes\&quot; %}&quot;},{&quot;label&quot;:&quot;Enter your third item/issue that requires clarification or further follow up from Client. SEE HELP ( ? ) KEY FOR FORMATTING INSTRUCTIONS&quot;,&quot;id&quot;:&quot;text_more_info_thre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fourth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lt;p&gt;&lt;span style=\&quot;color: rgb(230, 0, 0); background-color: rgb(255, 255, 255);\&quot;&gt;If you have more than four, you’ll need to add them manually once you finish and save the Questionnaire and then run the document. &lt;/span&gt;&lt;/p&gt;&quot;},{&quot;label&quot;:&quot;Has a Civil Code § 5200 demand been served on the HOA (regardless of whether Client, a prior attorney, or us sent it out)?&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always %}&quot;},{&quot;label&quot;:&quot;Describe the FIRST document/set of documents that we’d like Client to provide the Firm. SEE HELP ( ? ) KEY FOR GUIDANCE &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lt;span style=\&quot;color: rgb(0, 102, 204);\&quot;&gt;Client indicated that on 6/10/19, he notified the HOA in writing about the leak. We want that email exchange. &lt;/span&gt;&lt;/li&gt;&lt;li&gt;&lt;span style=\&quot;color: rgb(0, 102, 204);\&quot;&gt;Ask Client to provide all estimates, invoices, construction contracts, etc. regarding Client’s efforts to repair the leak.&lt;/span&gt;&lt;/li&gt;&lt;li&gt;&lt;span style=\&quot;color: rgb(0, 102, 204);\&quot;&gt;Did Client show anyone (e.g., a neighbor, friend, contractor, etc.) what his home looked like while there was standing water in his house following a leakage event? If so, we need those pictures and/or video files.&lt;/span&gt;&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label&quot;:&quot;Describe the SECOND document/set of documents that we’d like Client to provide the Firm. &quot;,&quot;id&quot;:&quot;text_more_docs_two&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second == \&quot;Yes\&quot; %}&quot;,&quot;description&quot;:&quo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quot;,&quot;id&quot;:&quot;text_more_docs_three&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third == \&quot;Yes\&quot; %}&quot;,&quot;description&quot;:&quo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FOR GUIDANCE&quot;,&quot;id&quot;:&quot;text_more_docs_four&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fourth == \&quot;Yes\&quot; %}&quot;,&quot;description&quot;:&quot;&lt;p&gt;If you have more than FOUR documents to request from Client, then you can enter those additional documents manually once you've generated the Preliminary Analysis.&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38, 0);\&quot;&gt;If our Client is a \&quot;Defendant/Respondent\&quot; AND intends upon filing a &lt;/span&gt;&lt;u style=\&quot;color: rgb(0, 138, 0);\&quot;&gt;cross-claim&lt;/u&gt;&lt;span style=\&quot;color: rgb(0, 138, 0);\&quot;&gt; (or cross-ADR Demand), then select \&quot;&lt;/span&gt;&lt;u style=\&quot;color: rgb(0, 138, 0);\&quot;&gt;Defendant/Respondent&lt;/u&gt;&lt;span style=\&quot;color: rgb(0, 138, 0);\&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Conversion&quot;,&quot;Trespass to Chattels&quot;],&quot;is_page_break&quot;:false,&quot;is_required&quot;:false,&quot;conditions_advanced&quot;:&quot;{% showif radio_client_plaintiff_defendant == \&quot;Plaintiff/Petitioner\&quot; %}&quot;,&quot;description&quot;:&quot;&lt;p&gt;If there are any causes of action not present in the list, you'll have an opportunity to add it at the end.&lt;/p&gt;&lt;p&gt;&lt;span style=\&quot;color: rgb(230, 0, 0);\&quot;&gt;If you believe that a new cause of action should be added to the list, please notify MBK.&lt;/span&gt;&lt;/p&gt;&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EXAMPLES&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Trespass to Chattel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 INSTRUCTIONS&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Client's CONVERSION claim have anything to do with the conversion of Client's pet?&quot;,&quot;id&quot;:&quot;yn_conversion_pet&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checkbox_potential_cross_claims.includes(\&quot;Conversion\&quot;) %}\n&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description&quot;:&quot;&lt;p&gt;If an affirmative defense is missing, please notify MBK immediately.&lt;/p&gt;&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description&quot;:&quot;&lt;p&gt;If an affirmative defense is missing, please notify MBK immediately.&lt;/p&gt;&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It doesn't matter what you write here, or how you organize it, because you're going to need to make adjustments within the Word document anyway.&lt;/p&gt;&lt;p&gt;&lt;span style=\&quot;color: rgb(0, 138, 0);\&quot;&gt;In fact, you can even respond here by just putting \&quot;****\&quot; as a placeholder.&lt;/span&gt;&lt;/p&gt;&lt;p&gt;&lt;span style=\&quot;color: rgb(230, 0, 0);\&quot;&gt;So, after entering data here, be sure to follow the instructions hardwired into the document.&lt;/span&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gt;we would probably want to file a Motion to Dismiss based on a lack of standing argument under Civil Code section 5975 &lt;/strong&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trong style=\&quot;color: rgb(0, 138, 0);\&quot;&gt;A \&quot;Yes\&quot; response means that during your review of Client's case/information, no new conflicts of interest came to light.&lt;/strong&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are the INITIALS of the MBK Chapman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MBK100722&quot;,&quot;id&quot;:&quot;preliminary_analysis_hoa_mbk10072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110</Pages>
  <Words>28435</Words>
  <Characters>162084</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201</cp:revision>
  <cp:lastPrinted>2020-05-21T21:26:00Z</cp:lastPrinted>
  <dcterms:created xsi:type="dcterms:W3CDTF">2020-06-05T16:34:00Z</dcterms:created>
  <dcterms:modified xsi:type="dcterms:W3CDTF">2024-12-05T14:20:00Z</dcterms:modified>
</cp:coreProperties>
</file>