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Northridge Village Owners Association v. Frederick S. Greenwald and Joan B. Greenwald</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08557E" w:rsidP="00FD77B5">
      <w:pPr>
        <w:spacing w:afterLines="0" w:after="0"/>
        <w:jc w:val="center"/>
        <w:rPr>
          <w:rFonts w:cs="Times New Roman"/>
          <w:sz w:val="28"/>
          <w:szCs w:val="28"/>
        </w:rPr>
      </w:pPr>
      <w:r>
        <w:rPr>
          <w:rFonts w:cs="Times New Roman"/>
          <w:color w:val="000099"/>
          <w:sz w:val="28"/>
          <w:szCs w:val="28"/>
        </w:rPr>
        <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Joan Greenwald</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Northridge Village Owner’s Association, Inc.</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2"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4" w:name="_Toc130368771"/>
      <w:r w:rsidRPr="00274E8F">
        <w:fldChar w:fldCharType="end"/>
      </w:r>
      <w:r w:rsidR="009B5213">
        <w:br/>
      </w:r>
      <w:r>
        <w:t>Assumption of Risk</w:t>
      </w:r>
      <w:bookmarkEnd w:id="15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4" w:name="_Toc130368790"/>
      <w:r w:rsidRPr="00274E8F">
        <w:fldChar w:fldCharType="end"/>
      </w:r>
      <w:r w:rsidR="002970B7">
        <w:br/>
      </w:r>
      <w:r>
        <w:t>Lack of Damages</w:t>
      </w:r>
      <w:bookmarkEnd w:id="17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2"/>
      <w:r w:rsidRPr="00274E8F">
        <w:fldChar w:fldCharType="end"/>
      </w:r>
      <w:r w:rsidR="002970B7">
        <w:br/>
      </w:r>
      <w:r>
        <w:t>No Causation</w:t>
      </w:r>
      <w:bookmarkEnd w:id="176"/>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9" w:name="_Toc130368794"/>
      <w:r w:rsidRPr="00274E8F">
        <w:fldChar w:fldCharType="end"/>
      </w:r>
      <w:r w:rsidR="002970B7">
        <w:br/>
      </w:r>
      <w:r>
        <w:t>Ratification</w:t>
      </w:r>
      <w:bookmarkEnd w:id="17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8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8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Northridge Village Owners Association v. Frederick S. Greenwald and Joan B. Greenwald</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