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8557E" w:rsidP="00FD77B5">
      <w:pPr>
        <w:spacing w:afterLines="0" w:after="0"/>
        <w:jc w:val="center"/>
        <w:rPr>
          <w:rFonts w:cs="Times New Roman"/>
          <w:color w:val="000099"/>
          <w:sz w:val="52"/>
          <w:szCs w:val="52"/>
        </w:rPr>
      </w:pPr>
      <w:r>
        <w:rPr>
          <w:rFonts w:cs="Times New Roman"/>
          <w:color w:val="000099"/>
          <w:sz w:val="52"/>
          <w:szCs w:val="52"/>
        </w:rPr>
        <w:t>BidMail v. Repro X-Press, Inc. et al.</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8557E"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40D4C27C"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8557E">
        <w:rPr>
          <w:rFonts w:cs="Times New Roman"/>
          <w:bCs/>
          <w:noProof/>
          <w:color w:val="000099"/>
          <w:sz w:val="26"/>
          <w:szCs w:val="26"/>
        </w:rPr>
        <w:t>October 10, 2024</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08557E">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08557E">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08557E">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08557E">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08557E">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08557E">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08557E">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08557E">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08557E">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08557E">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08557E">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08557E">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08557E">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08557E">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08557E">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08557E">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08557E">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08557E">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08557E">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08557E">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08557E">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08557E">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08557E">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08557E">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08557E">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08557E">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08557E">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08557E">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08557E">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08557E">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08557E">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08557E">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08557E">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08557E">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08557E">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08557E">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08557E">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08557E">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08557E">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08557E">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08557E">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08557E">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08557E">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08557E">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08557E">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08557E">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08557E">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08557E">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08557E">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08557E">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08557E">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08557E">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08557E">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08557E">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08557E">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08557E">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08557E">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08557E">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08557E">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08557E">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08557E">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08557E">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08557E">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08557E">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08557E">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08557E">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08557E">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08557E">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08557E">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08557E">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08557E">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08557E">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08557E">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08557E">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08557E">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08557E">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08557E">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08557E">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08557E">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08557E">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08557E">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08557E">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08557E">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08557E">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08557E">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08557E">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08557E">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08557E">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08557E">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08557E">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08557E">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08557E">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08557E">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08557E">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08557E">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08557E">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08557E">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08557E">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08557E">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08557E">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08557E">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08557E">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08557E">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08557E">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08557E">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08557E">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08557E">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08557E">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08557E">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08557E">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08557E">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08557E">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08557E">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08557E">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08557E">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08557E">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08557E">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08557E">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08557E">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08557E" w:rsidP="00FB173A">
      <w:pPr>
        <w:pStyle w:val="NormalEnd"/>
      </w:pPr>
      <w:r>
        <w:t>TBD</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08557E" w:rsidP="00B83DD4">
            <w:pPr>
              <w:spacing w:afterLines="0" w:after="0"/>
              <w:rPr>
                <w:rFonts w:ascii="Times New Roman" w:hAnsi="Times New Roman" w:cs="Times New Roman"/>
                <w:sz w:val="20"/>
                <w:szCs w:val="20"/>
              </w:rPr>
            </w:pPr>
            <w:r>
              <w:rPr>
                <w:rFonts w:cs="Times New Roman"/>
                <w:sz w:val="20"/>
                <w:szCs w:val="20"/>
              </w:rPr>
              <w:t>BidMail, Inc.</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08557E" w:rsidP="00B83DD4">
            <w:pPr>
              <w:spacing w:afterLines="0" w:after="0"/>
              <w:rPr>
                <w:rFonts w:ascii="Times New Roman" w:hAnsi="Times New Roman" w:cs="Times New Roman"/>
                <w:sz w:val="20"/>
                <w:szCs w:val="20"/>
              </w:rPr>
            </w:pPr>
            <w:r>
              <w:rPr>
                <w:rFonts w:cs="Times New Roman"/>
                <w:sz w:val="20"/>
                <w:szCs w:val="20"/>
              </w:rPr>
              <w:t>Repro X-Press, Inc.</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08557E" w:rsidP="00B83DD4">
            <w:pPr>
              <w:spacing w:afterLines="0" w:after="0"/>
              <w:rPr>
                <w:rFonts w:ascii="Times New Roman" w:hAnsi="Times New Roman" w:cs="Times New Roman"/>
                <w:sz w:val="20"/>
                <w:szCs w:val="20"/>
              </w:rPr>
            </w:pPr>
            <w:r>
              <w:rPr>
                <w:rFonts w:cs="Times New Roman"/>
                <w:sz w:val="20"/>
                <w:szCs w:val="20"/>
              </w:rPr>
              <w:t>Software Licensee</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Document</w:t>
            </w:r>
            <w:r w:rsidR="00DB2BFF" w:rsidRPr="00D010AC">
              <w:rPr>
                <w:rFonts w:ascii="Times New Roman" w:hAnsi="Times New Roman" w:cs="Times New Roman"/>
                <w:b/>
                <w:lang w:val="fr-FR"/>
              </w:rPr>
              <w:t xml:space="preserve"> Name</w:t>
            </w:r>
          </w:p>
          <w:p w14:paraId="12F2346B" w14:textId="77777777"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Article / Section No.</w:t>
            </w:r>
          </w:p>
          <w:p w14:paraId="70D19C13" w14:textId="77777777" w:rsidR="001B2429" w:rsidRPr="00D010AC" w:rsidRDefault="001B2429" w:rsidP="00CB4C47">
            <w:pPr>
              <w:spacing w:afterLines="0" w:after="0"/>
              <w:rPr>
                <w:rFonts w:ascii="Times New Roman" w:hAnsi="Times New Roman" w:cs="Times New Roman"/>
                <w:b/>
                <w:lang w:val="fr-FR"/>
              </w:rPr>
            </w:pPr>
          </w:p>
        </w:tc>
        <w:tc>
          <w:tcPr>
            <w:tcW w:w="8550" w:type="dxa"/>
            <w:shd w:val="clear" w:color="auto" w:fill="B4C6E7" w:themeFill="accent1" w:themeFillTint="66"/>
          </w:tcPr>
          <w:p w14:paraId="345D6F60" w14:textId="77777777" w:rsidR="001B2429" w:rsidRPr="00D010AC" w:rsidRDefault="001B2429" w:rsidP="00CB4C47">
            <w:pPr>
              <w:spacing w:afterLines="0" w:after="0"/>
              <w:rPr>
                <w:rFonts w:ascii="Times New Roman" w:hAnsi="Times New Roman" w:cs="Times New Roman"/>
                <w:b/>
                <w:lang w:val="fr-FR"/>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roofErr w:type="spellStart"/>
            <w:r w:rsidRPr="00D010AC">
              <w:rPr>
                <w:rFonts w:ascii="Times New Roman" w:hAnsi="Times New Roman" w:cs="Times New Roman"/>
                <w:sz w:val="20"/>
                <w:szCs w:val="20"/>
                <w:highlight w:val="green"/>
                <w:lang w:val="fr-FR"/>
              </w:rPr>
              <w:t>CC&amp;Rs</w:t>
            </w:r>
            <w:proofErr w:type="spellEnd"/>
          </w:p>
          <w:p w14:paraId="55824A13" w14:textId="69DB9F61" w:rsidR="001B2429" w:rsidRPr="00D010AC" w:rsidRDefault="005015C1" w:rsidP="00CB4C47">
            <w:pPr>
              <w:spacing w:afterLines="0" w:after="0"/>
              <w:jc w:val="center"/>
              <w:rPr>
                <w:rFonts w:ascii="Times New Roman" w:hAnsi="Times New Roman" w:cs="Times New Roman"/>
                <w:sz w:val="20"/>
                <w:szCs w:val="20"/>
                <w:highlight w:val="green"/>
                <w:lang w:val="fr-FR"/>
              </w:rPr>
            </w:pPr>
            <w:r w:rsidRPr="00D010AC">
              <w:rPr>
                <w:rFonts w:ascii="Times New Roman" w:hAnsi="Times New Roman" w:cs="Times New Roman"/>
                <w:sz w:val="20"/>
                <w:szCs w:val="20"/>
                <w:highlight w:val="green"/>
                <w:lang w:val="fr-FR"/>
              </w:rPr>
              <w:t xml:space="preserve">Article IX, </w:t>
            </w:r>
            <w:r w:rsidR="001B2429" w:rsidRPr="00D010AC">
              <w:rPr>
                <w:rFonts w:ascii="Times New Roman" w:hAnsi="Times New Roman" w:cs="Times New Roman"/>
                <w:sz w:val="20"/>
                <w:szCs w:val="20"/>
                <w:highlight w:val="green"/>
                <w:lang w:val="fr-FR"/>
              </w:rPr>
              <w:t>Section 6.01</w:t>
            </w:r>
          </w:p>
          <w:p w14:paraId="02609DF6"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
        </w:tc>
        <w:tc>
          <w:tcPr>
            <w:tcW w:w="8550" w:type="dxa"/>
            <w:vAlign w:val="center"/>
          </w:tcPr>
          <w:p w14:paraId="4F989ECA" w14:textId="77777777" w:rsidR="001B2429" w:rsidRPr="00D010AC" w:rsidRDefault="001B2429" w:rsidP="00CB4C47">
            <w:pPr>
              <w:spacing w:afterLines="0" w:after="0"/>
              <w:rPr>
                <w:rFonts w:ascii="Times New Roman" w:hAnsi="Times New Roman" w:cs="Times New Roman"/>
                <w:sz w:val="20"/>
                <w:szCs w:val="20"/>
                <w:highlight w:val="green"/>
                <w:lang w:val="fr-FR"/>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30368716"/>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83" w:name="_Toc53565507"/>
      <w:bookmarkStart w:id="84" w:name="_Toc130368736"/>
      <w:r w:rsidRPr="00020852">
        <w:fldChar w:fldCharType="end"/>
      </w:r>
      <w:r>
        <w:br/>
        <w:t>Conversion</w:t>
      </w:r>
      <w:bookmarkEnd w:id="83"/>
      <w:bookmarkEnd w:id="84"/>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lastRenderedPageBreak/>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7" w:name="_Toc53565509"/>
      <w:bookmarkStart w:id="88" w:name="_Toc130368738"/>
      <w:r w:rsidRPr="00020852">
        <w:fldChar w:fldCharType="end"/>
      </w:r>
      <w:r>
        <w:br/>
      </w:r>
      <w:r w:rsidRPr="00817D6C">
        <w:t>Open Book Account</w:t>
      </w:r>
      <w:bookmarkEnd w:id="87"/>
      <w:bookmarkEnd w:id="88"/>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lastRenderedPageBreak/>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9" w:name="_Toc53565510"/>
      <w:bookmarkStart w:id="90" w:name="_Toc130368739"/>
      <w:r w:rsidRPr="00020852">
        <w:fldChar w:fldCharType="end"/>
      </w:r>
      <w:r>
        <w:br/>
      </w:r>
      <w:r w:rsidRPr="00817D6C">
        <w:t>Money Had and Received</w:t>
      </w:r>
      <w:bookmarkEnd w:id="89"/>
      <w:bookmarkEnd w:id="90"/>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lastRenderedPageBreak/>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91" w:name="_Toc53565511"/>
      <w:bookmarkStart w:id="92" w:name="_Toc130368740"/>
      <w:r w:rsidRPr="00020852">
        <w:fldChar w:fldCharType="end"/>
      </w:r>
      <w:r>
        <w:br/>
        <w:t>Account Stated</w:t>
      </w:r>
      <w:bookmarkEnd w:id="91"/>
      <w:bookmarkEnd w:id="92"/>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lastRenderedPageBreak/>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CFBFF5" w14:textId="77777777" w:rsidR="00555084" w:rsidRDefault="00555084" w:rsidP="00555084">
      <w:pPr>
        <w:pStyle w:val="Heading2"/>
      </w:pPr>
      <w:r w:rsidRPr="00020852">
        <w:lastRenderedPageBreak/>
        <w:fldChar w:fldCharType="begin"/>
      </w:r>
      <w:r w:rsidRPr="00020852">
        <w:instrText xml:space="preserve"> LISTNUM LegalDefault \l 2 </w:instrText>
      </w:r>
      <w:bookmarkStart w:id="93" w:name="_Toc53565512"/>
      <w:bookmarkStart w:id="94" w:name="_Toc130368741"/>
      <w:r w:rsidRPr="00020852">
        <w:fldChar w:fldCharType="end"/>
      </w:r>
      <w:r>
        <w:br/>
      </w:r>
      <w:r w:rsidRPr="00817D6C">
        <w:t>Goods and Services Rendered</w:t>
      </w:r>
      <w:bookmarkEnd w:id="93"/>
      <w:bookmarkEnd w:id="94"/>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E3A28CC" w14:textId="77777777" w:rsidR="00555084" w:rsidRPr="00D010AC" w:rsidRDefault="00555084" w:rsidP="00555084">
      <w:pPr>
        <w:pStyle w:val="Heading2"/>
        <w:rPr>
          <w:lang w:val="fr-FR"/>
        </w:rPr>
      </w:pPr>
      <w:r w:rsidRPr="00020852">
        <w:lastRenderedPageBreak/>
        <w:fldChar w:fldCharType="begin"/>
      </w:r>
      <w:r w:rsidRPr="00D010AC">
        <w:rPr>
          <w:lang w:val="fr-FR"/>
        </w:rPr>
        <w:instrText xml:space="preserve"> LISTNUM LegalDefault \l 2 </w:instrText>
      </w:r>
      <w:bookmarkStart w:id="95" w:name="_Toc53565513"/>
      <w:bookmarkStart w:id="96" w:name="_Toc130368742"/>
      <w:r w:rsidRPr="00020852">
        <w:fldChar w:fldCharType="end"/>
      </w:r>
      <w:r w:rsidRPr="00D010AC">
        <w:rPr>
          <w:lang w:val="fr-FR"/>
        </w:rPr>
        <w:br/>
      </w:r>
      <w:proofErr w:type="spellStart"/>
      <w:r w:rsidRPr="00D010AC">
        <w:rPr>
          <w:lang w:val="fr-FR"/>
        </w:rPr>
        <w:t>Unjust</w:t>
      </w:r>
      <w:proofErr w:type="spellEnd"/>
      <w:r w:rsidRPr="00D010AC">
        <w:rPr>
          <w:lang w:val="fr-FR"/>
        </w:rPr>
        <w:t xml:space="preserve"> </w:t>
      </w:r>
      <w:proofErr w:type="spellStart"/>
      <w:r w:rsidRPr="00D010AC">
        <w:rPr>
          <w:lang w:val="fr-FR"/>
        </w:rPr>
        <w:t>Enrichment</w:t>
      </w:r>
      <w:bookmarkEnd w:id="95"/>
      <w:bookmarkEnd w:id="96"/>
      <w:proofErr w:type="spellEnd"/>
    </w:p>
    <w:p w14:paraId="783BF9F1" w14:textId="77777777" w:rsidR="00555084" w:rsidRPr="00D010AC" w:rsidRDefault="00555084" w:rsidP="00555084">
      <w:pPr>
        <w:spacing w:after="264"/>
        <w:rPr>
          <w:lang w:val="fr-FR"/>
        </w:rPr>
      </w:pPr>
      <w:proofErr w:type="spellStart"/>
      <w:r w:rsidRPr="00D010AC">
        <w:rPr>
          <w:u w:val="single"/>
          <w:lang w:val="fr-FR"/>
        </w:rPr>
        <w:t>Elements</w:t>
      </w:r>
      <w:proofErr w:type="spellEnd"/>
      <w:r w:rsidRPr="00D010AC">
        <w:rPr>
          <w:lang w:val="fr-FR"/>
        </w:rPr>
        <w:t>—</w:t>
      </w:r>
      <w:proofErr w:type="spellStart"/>
      <w:r w:rsidRPr="00D010AC">
        <w:rPr>
          <w:lang w:val="fr-FR"/>
        </w:rPr>
        <w:t>Unjust</w:t>
      </w:r>
      <w:proofErr w:type="spellEnd"/>
      <w:r w:rsidRPr="00D010AC">
        <w:rPr>
          <w:lang w:val="fr-FR"/>
        </w:rPr>
        <w:t xml:space="preserve"> </w:t>
      </w:r>
      <w:proofErr w:type="spellStart"/>
      <w:r w:rsidRPr="00D010AC">
        <w:rPr>
          <w:lang w:val="fr-FR"/>
        </w:rPr>
        <w:t>Enrichment</w:t>
      </w:r>
      <w:proofErr w:type="spellEnd"/>
      <w:r w:rsidRPr="00D010AC">
        <w:rPr>
          <w:lang w:val="fr-FR"/>
        </w:rPr>
        <w:t xml:space="preserve"> (Quantum </w:t>
      </w:r>
      <w:proofErr w:type="spellStart"/>
      <w:r w:rsidRPr="00D010AC">
        <w:rPr>
          <w:lang w:val="fr-FR"/>
        </w:rPr>
        <w:t>Meruit</w:t>
      </w:r>
      <w:proofErr w:type="spellEnd"/>
      <w:r w:rsidRPr="00D010AC">
        <w:rPr>
          <w:lang w:val="fr-FR"/>
        </w:rPr>
        <w: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7" w:name="_Toc53565518"/>
      <w:bookmarkStart w:id="108"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7"/>
      <w:bookmarkEnd w:id="108"/>
    </w:p>
    <w:p w14:paraId="282BE646" w14:textId="77777777" w:rsidR="0079009E" w:rsidRDefault="0079009E" w:rsidP="0079009E">
      <w:pPr>
        <w:spacing w:after="264"/>
      </w:pPr>
      <w:bookmarkStart w:id="10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a private party’s standing to bring such a claim—a private party was required to (i) establish a loss or deprivation of money or property sufficient to qualify as injury in fact (i.e., an economic injury), and </w:t>
      </w:r>
      <w:r>
        <w:lastRenderedPageBreak/>
        <w:t>(ii)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61B2B8F9"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39" w:name="_Toc130368758"/>
      <w:r w:rsidRPr="00020852">
        <w:fldChar w:fldCharType="end"/>
      </w:r>
      <w:r>
        <w:br/>
        <w:t>Fraudulent Transfer</w:t>
      </w:r>
      <w:r>
        <w:br/>
        <w:t>(Uniform Fraudulent Transfer Act—Civil Code, § 3439 et seq.)</w:t>
      </w:r>
      <w:bookmarkEnd w:id="139"/>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2"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6" w:name="_Toc130368800"/>
      <w:r w:rsidRPr="00020852">
        <w:fldChar w:fldCharType="end"/>
      </w:r>
      <w:r w:rsidR="002970B7">
        <w:br/>
      </w:r>
      <w:r w:rsidR="00B77716" w:rsidRPr="00020852">
        <w:t>STRATEGIC CONSIDERATIONS</w:t>
      </w:r>
      <w:bookmarkEnd w:id="186"/>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7" w:name="_Toc53565571"/>
      <w:bookmarkStart w:id="188" w:name="_Toc130368801"/>
      <w:r w:rsidRPr="002F7882">
        <w:rPr>
          <w:color w:val="C00000"/>
        </w:rPr>
        <w:fldChar w:fldCharType="end"/>
      </w:r>
      <w:r w:rsidRPr="002F7882">
        <w:rPr>
          <w:color w:val="C00000"/>
        </w:rPr>
        <w:br/>
        <w:t>Statute of Limitations</w:t>
      </w:r>
      <w:bookmarkEnd w:id="187"/>
      <w:bookmarkEnd w:id="188"/>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TBD</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90" w:name="_Toc130368803"/>
      <w:r w:rsidRPr="00020852">
        <w:fldChar w:fldCharType="end"/>
      </w:r>
      <w:r w:rsidR="002970B7">
        <w:br/>
      </w:r>
      <w:r w:rsidR="00184ADF" w:rsidRPr="00020852">
        <w:t>Jurisdiction</w:t>
      </w:r>
      <w:bookmarkEnd w:id="19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1" w:name="_Toc130368804"/>
      <w:r w:rsidRPr="00020852">
        <w:fldChar w:fldCharType="end"/>
      </w:r>
      <w:r w:rsidR="002970B7">
        <w:br/>
      </w:r>
      <w:r w:rsidR="00C53B37" w:rsidRPr="00020852">
        <w:t>Arbitration</w:t>
      </w:r>
      <w:bookmarkEnd w:id="191"/>
    </w:p>
    <w:bookmarkStart w:id="192" w:name="_Hlk53658305"/>
    <w:p w14:paraId="42E8AC15" w14:textId="7DB22D24" w:rsidR="00963248" w:rsidRDefault="0008557E" w:rsidP="00DE5C5E">
      <w:pPr>
        <w:spacing w:after="264"/>
        <w:rPr>
          <w:rFonts w:cs="Times New Roman"/>
          <w:bCs/>
          <w:szCs w:val="24"/>
        </w:rPr>
      </w:pPr>
      <w:r>
        <w:rPr>
          <w:rFonts w:cs="Times New Roman"/>
          <w:szCs w:val="24"/>
        </w:rPr>
        <w:t>Section 2.6 and Section 2.6.6</w:t>
      </w:r>
      <w:r w:rsidR="00963248">
        <w:rPr>
          <w:rFonts w:cs="Times New Roman"/>
          <w:szCs w:val="24"/>
        </w:rPr>
        <w:t xml:space="preserve"> of the </w:t>
      </w:r>
      <w:r>
        <w:rPr>
          <w:rFonts w:cs="Times New Roman"/>
          <w:szCs w:val="24"/>
        </w:rPr>
        <w:t>Software License Agreement</w:t>
      </w:r>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r>
        <w:rPr>
          <w:rFonts w:cs="Times New Roman"/>
          <w:szCs w:val="24"/>
        </w:rPr>
        <w:t>Orange</w:t>
      </w:r>
      <w:r w:rsidR="00963248">
        <w:rPr>
          <w:rFonts w:cs="Times New Roman"/>
          <w:szCs w:val="24"/>
        </w:rPr>
        <w:t xml:space="preserve"> County).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7" w:name="_Toc130368805"/>
      <w:r w:rsidRPr="00020852">
        <w:fldChar w:fldCharType="end"/>
      </w:r>
      <w:r w:rsidR="002970B7">
        <w:br/>
      </w:r>
      <w:bookmarkEnd w:id="197"/>
      <w:r w:rsidR="007A188C">
        <w:t>Venue</w:t>
      </w:r>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r>
        <w:rPr>
          <w:rFonts w:cs="Times New Roman"/>
          <w:szCs w:val="24"/>
        </w:rPr>
        <w:t>Software License Agreement</w:t>
      </w:r>
      <w:r>
        <w:rPr>
          <w:rFonts w:cs="Times New Roman"/>
          <w:szCs w:val="24"/>
        </w:rPr>
        <w:t xml:space="preserve"> agreed to submit all disputes to binding arbitration in </w:t>
      </w:r>
      <w:r>
        <w:rPr>
          <w:rFonts w:cs="Times New Roman"/>
          <w:szCs w:val="24"/>
        </w:rPr>
        <w:t>Orange</w:t>
      </w:r>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9" w:name="_Toc130368807"/>
      <w:r w:rsidRPr="00020852">
        <w:fldChar w:fldCharType="end"/>
      </w:r>
      <w:r>
        <w:br/>
        <w:t>Standing</w:t>
      </w:r>
      <w:bookmarkEnd w:id="199"/>
    </w:p>
    <w:bookmarkStart w:id="200" w:name="_Hlk43282553"/>
    <w:bookmarkStart w:id="201"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2" w:name="_Hlk43278950"/>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203" w:name="_Toc130368808"/>
      <w:r w:rsidRPr="00020852">
        <w:fldChar w:fldCharType="end"/>
      </w:r>
      <w:r w:rsidR="002970B7">
        <w:br/>
      </w:r>
      <w:r w:rsidRPr="00020852">
        <w:t>Anti-SLAPP Analysis</w:t>
      </w:r>
      <w:bookmarkEnd w:id="203"/>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8" w:name="_Toc130368809"/>
      <w:r w:rsidRPr="00020852">
        <w:fldChar w:fldCharType="end"/>
      </w:r>
      <w:r>
        <w:br/>
      </w:r>
      <w:r w:rsidRPr="00020852">
        <w:t>Pre-Filing Requirements</w:t>
      </w:r>
      <w:bookmarkEnd w:id="218"/>
      <w:r w:rsidR="00E24072">
        <w:br/>
        <w:t>(e.g., Notice or Mediation Requirements)</w:t>
      </w:r>
    </w:p>
    <w:bookmarkStart w:id="219" w:name="_Hlk130541436"/>
    <w:p w14:paraId="02E0DA12" w14:textId="77777777" w:rsidR="000F0C9F" w:rsidRPr="00E610A9" w:rsidRDefault="0008557E" w:rsidP="000F0C9F">
      <w:pPr>
        <w:spacing w:after="264"/>
        <w:rPr>
          <w:rFonts w:cs="Times New Roman"/>
          <w:szCs w:val="24"/>
        </w:rPr>
      </w:pPr>
      <w:r>
        <w:rPr>
          <w:rFonts w:cs="Times New Roman"/>
          <w:szCs w:val="24"/>
        </w:rPr>
        <w:t>Sections 2.6 and 2.6.6 of Software License Agreement (as amended by the 2024 Amendment) contain mediation and arbitration clauses.</w:t>
      </w:r>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2" w:name="_Toc130368810"/>
      <w:r w:rsidRPr="00020852">
        <w:fldChar w:fldCharType="end"/>
      </w:r>
      <w:r>
        <w:br/>
      </w:r>
      <w:r w:rsidRPr="00020852">
        <w:t>Attorneys’ Fees and Costs</w:t>
      </w:r>
      <w:bookmarkEnd w:id="222"/>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r>
        <w:rPr>
          <w:rFonts w:cs="Times New Roman"/>
          <w:szCs w:val="24"/>
        </w:rPr>
        <w:t>Section 2.5</w:t>
      </w:r>
      <w:r w:rsidR="003C4D76" w:rsidRPr="00D87E71">
        <w:t xml:space="preserve"> of the </w:t>
      </w:r>
      <w:r>
        <w:rPr>
          <w:rFonts w:cs="Times New Roman"/>
          <w:szCs w:val="24"/>
        </w:rPr>
        <w:t>Software License Agreement</w:t>
      </w:r>
      <w:r w:rsidR="003C4D76" w:rsidRPr="00D87E71">
        <w:t>.</w:t>
      </w:r>
      <w:r w:rsidR="003C4D76">
        <w:t xml:space="preserve"> </w:t>
      </w:r>
      <w:r>
        <w:t>T</w:t>
      </w:r>
      <w:r w:rsidR="003C4D76">
        <w:t xml:space="preserve">he prevailing party </w:t>
      </w:r>
      <w:r>
        <w:t>is</w:t>
      </w:r>
      <w:r w:rsidR="003C4D76">
        <w:t xml:space="preserve"> also entitled to attorneys’ fees and costs under </w:t>
      </w:r>
      <w:r>
        <w:rPr>
          <w:rFonts w:cs="Times New Roman"/>
          <w:szCs w:val="24"/>
        </w:rPr>
        <w:t>Civil Code section 1717 and Code of Civil Procedure section 1032</w:t>
      </w:r>
      <w:r w:rsidR="003C4D76">
        <w:t>.</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5"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6"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6"/>
    </w:p>
    <w:p w14:paraId="0E7FD39D" w14:textId="5CB84CD9" w:rsidR="0057244F" w:rsidRDefault="0008557E" w:rsidP="00ED253D">
      <w:pPr>
        <w:spacing w:after="264"/>
      </w:pPr>
      <w:r>
        <w:t>TBD</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5"/>
    </w:p>
    <w:p w14:paraId="5828B9B5" w14:textId="61325DEF" w:rsidR="00187D06" w:rsidRDefault="002A00E7" w:rsidP="001257C8">
      <w:pPr>
        <w:pStyle w:val="Line"/>
      </w:pPr>
      <w:bookmarkStart w:id="227" w:name="_Hlk43439444"/>
      <w:r w:rsidRPr="005C5314">
        <w:t>________________________________</w:t>
      </w:r>
      <w:bookmarkEnd w:id="227"/>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21F03" w14:textId="77777777" w:rsidR="009235D3" w:rsidRDefault="009235D3" w:rsidP="007B1C23">
      <w:pPr>
        <w:spacing w:after="264"/>
      </w:pPr>
      <w:r>
        <w:separator/>
      </w:r>
    </w:p>
    <w:p w14:paraId="5D4C9A1E" w14:textId="77777777" w:rsidR="009235D3" w:rsidRDefault="009235D3">
      <w:pPr>
        <w:spacing w:after="264"/>
      </w:pPr>
    </w:p>
  </w:endnote>
  <w:endnote w:type="continuationSeparator" w:id="0">
    <w:p w14:paraId="3B2E85DF" w14:textId="77777777" w:rsidR="009235D3" w:rsidRDefault="009235D3" w:rsidP="007B1C23">
      <w:pPr>
        <w:spacing w:after="264"/>
      </w:pPr>
      <w:r>
        <w:continuationSeparator/>
      </w:r>
    </w:p>
    <w:p w14:paraId="02D296D4" w14:textId="77777777" w:rsidR="009235D3" w:rsidRDefault="009235D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8557E"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BidMail v. Repro X-Press, Inc. et al.</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7E123" w14:textId="77777777" w:rsidR="009235D3" w:rsidRDefault="009235D3" w:rsidP="007B1C23">
      <w:pPr>
        <w:spacing w:after="264"/>
      </w:pPr>
      <w:r>
        <w:separator/>
      </w:r>
    </w:p>
    <w:p w14:paraId="6D84AAFE" w14:textId="77777777" w:rsidR="009235D3" w:rsidRDefault="009235D3">
      <w:pPr>
        <w:spacing w:after="264"/>
      </w:pPr>
    </w:p>
  </w:footnote>
  <w:footnote w:type="continuationSeparator" w:id="0">
    <w:p w14:paraId="53811D9E" w14:textId="77777777" w:rsidR="009235D3" w:rsidRDefault="009235D3" w:rsidP="007B1C23">
      <w:pPr>
        <w:spacing w:after="264"/>
      </w:pPr>
      <w:r>
        <w:continuationSeparator/>
      </w:r>
    </w:p>
    <w:p w14:paraId="1B5A23F2" w14:textId="77777777" w:rsidR="009235D3" w:rsidRDefault="009235D3">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557E"/>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60DF"/>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311"/>
    <w:rsid w:val="0046389B"/>
    <w:rsid w:val="00463FCC"/>
    <w:rsid w:val="004645FC"/>
    <w:rsid w:val="0046481D"/>
    <w:rsid w:val="004664DA"/>
    <w:rsid w:val="0046733B"/>
    <w:rsid w:val="004701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35D3"/>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621C"/>
    <w:rsid w:val="00A471FE"/>
    <w:rsid w:val="00A51004"/>
    <w:rsid w:val="00A510F2"/>
    <w:rsid w:val="00A53490"/>
    <w:rsid w:val="00A54145"/>
    <w:rsid w:val="00A549A0"/>
    <w:rsid w:val="00A559FB"/>
    <w:rsid w:val="00A64958"/>
    <w:rsid w:val="00A66DB7"/>
    <w:rsid w:val="00A67294"/>
    <w:rsid w:val="00A70139"/>
    <w:rsid w:val="00A70425"/>
    <w:rsid w:val="00A70D9A"/>
    <w:rsid w:val="00A72563"/>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16E7"/>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10AC"/>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350E0"/>
    <w:rsid w:val="00E447DB"/>
    <w:rsid w:val="00E44BC7"/>
    <w:rsid w:val="00E452CF"/>
    <w:rsid w:val="00E54374"/>
    <w:rsid w:val="00E606EA"/>
    <w:rsid w:val="00E62227"/>
    <w:rsid w:val="00E65369"/>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5F0B"/>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90793"/>
    <w:rsid w:val="001A3FA2"/>
    <w:rsid w:val="001A5DF3"/>
    <w:rsid w:val="002360DF"/>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63FBF"/>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A1A68"/>
    <w:rsid w:val="00EA300B"/>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4"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2865</TotalTime>
  <Pages>190</Pages>
  <Words>56197</Words>
  <Characters>320325</Characters>
  <Application>Microsoft Office Word</Application>
  <DocSecurity>0</DocSecurity>
  <Lines>2669</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454</cp:revision>
  <cp:lastPrinted>2019-02-13T22:26:00Z</cp:lastPrinted>
  <dcterms:created xsi:type="dcterms:W3CDTF">2020-06-05T18:10:00Z</dcterms:created>
  <dcterms:modified xsi:type="dcterms:W3CDTF">2024-06-04T17:48:00Z</dcterms:modified>
</cp:coreProperties>
</file>