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Sousa v. Coldwell Banker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Carlos Sousa and Yvonne D’Angelo Sousa</w:t>
            </w:r>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Coldwell Banker (Full Name TBD)</w:t>
            </w:r>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Infringing Party</w:t>
            </w:r>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Lisa Lombardi</w:t>
            </w:r>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TBD</w:t>
            </w:r>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Marina Thompson</w:t>
            </w:r>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TBD</w:t>
            </w:r>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07B19474" w14:textId="650224C6" w:rsidR="00963248" w:rsidRDefault="00963248" w:rsidP="00DE5C5E">
      <w:pPr>
        <w:spacing w:after="264"/>
        <w:rPr>
          <w:rFonts w:cs="Times New Roman"/>
          <w:bCs/>
          <w:szCs w:val="24"/>
        </w:rPr>
      </w:pPr>
      <w:r>
        <w:rPr>
          <w:rFonts w:cs="Times New Roman"/>
          <w:bCs/>
          <w:szCs w:val="24"/>
        </w:rPr>
        <w:t xml:space="preserve">While </w:t>
      </w:r>
      <w:r>
        <w:rPr>
          <w:rFonts w:cs="Times New Roman"/>
          <w:szCs w:val="24"/>
        </w:rPr>
        <w:t>TBD</w:t>
      </w:r>
      <w:r w:rsidR="00487CEE">
        <w:rPr>
          <w:rFonts w:cs="Times New Roman"/>
          <w:szCs w:val="24"/>
        </w:rPr>
        <w:t xml:space="preserve"> of the </w:t>
      </w:r>
      <w:r>
        <w:rPr>
          <w:rFonts w:cs="Times New Roman"/>
          <w:szCs w:val="24"/>
        </w:rPr>
        <w:t>TBD</w:t>
      </w:r>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r>
        <w:rPr>
          <w:rFonts w:cs="Times New Roman"/>
          <w:szCs w:val="24"/>
        </w:rPr>
        <w:t>Contra Costa</w:t>
      </w:r>
      <w:r w:rsidR="00487CEE">
        <w:rPr>
          <w:rFonts w:cs="Times New Roman"/>
          <w:szCs w:val="24"/>
        </w:rPr>
        <w:t xml:space="preserve"> County), it also appears that at least one issue/party relevant to the dispute is not subject to that provision. Specifically, </w:t>
      </w:r>
      <w:r>
        <w:rPr>
          <w:rFonts w:cs="Times New Roman"/>
          <w:szCs w:val="24"/>
        </w:rPr>
        <w:t>TBD</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r>
        <w:rPr>
          <w:rFonts w:cs="Times New Roman"/>
          <w:szCs w:val="24"/>
        </w:rPr>
        <w:t>TBD</w:t>
      </w:r>
      <w:r>
        <w:rPr>
          <w:rFonts w:cs="Times New Roman"/>
          <w:szCs w:val="24"/>
        </w:rPr>
        <w:t xml:space="preserve"> agreed to submit all disputes to binding arbitration in </w:t>
      </w:r>
      <w:r>
        <w:rPr>
          <w:rFonts w:cs="Times New Roman"/>
          <w:szCs w:val="24"/>
        </w:rPr>
        <w:t>Contra Costa</w:t>
      </w:r>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TBD</w:t>
      </w:r>
      <w:r w:rsidR="003C4D76" w:rsidRPr="00D87E71">
        <w:t xml:space="preserve"> of the </w:t>
      </w:r>
      <w:bookmarkStart w:id="222" w:name="_Hlk44316048"/>
      <w:r>
        <w:rPr>
          <w:rFonts w:cs="Times New Roman"/>
          <w:szCs w:val="24"/>
        </w:rPr>
        <w:t>TBD</w:t>
      </w:r>
      <w:bookmarkEnd w:id="222"/>
      <w:r w:rsidR="003C4D76" w:rsidRPr="00D87E71">
        <w:t xml:space="preserve">. </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Sousa v. Coldwell Banker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