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6DF63B55" w14:textId="77777777" w:rsidR="00AD0894" w:rsidRPr="00E31A1C" w:rsidRDefault="00D41496" w:rsidP="005C2B5C">
      <w:pPr>
        <w:spacing w:after="264"/>
        <w:jc w:val="center"/>
        <w:rPr>
          <w:rFonts w:cs="Times New Roman"/>
          <w:b/>
          <w:bCs/>
          <w:sz w:val="44"/>
          <w:szCs w:val="44"/>
        </w:rPr>
      </w:pPr>
      <w:r>
        <w:rPr>
          <w:rFonts w:cs="Times New Roman"/>
          <w:b/>
          <w:bCs/>
          <w:sz w:val="44"/>
          <w:szCs w:val="44"/>
        </w:rPr>
        <w:t>Jeffrey Johnson</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SE/JH</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37ED1F2B" w14:textId="37CB14D3" w:rsidR="00A32FF5" w:rsidRPr="0029680F" w:rsidRDefault="00D41496" w:rsidP="00ED2D7D">
      <w:pPr>
        <w:spacing w:after="264"/>
        <w:rPr>
          <w:rFonts w:cs="Times New Roman"/>
          <w:szCs w:val="24"/>
        </w:rPr>
      </w:pPr>
      <w:r>
        <w:rPr>
          <w:rFonts w:cs="Times New Roman"/>
          <w:szCs w:val="24"/>
        </w:rPr>
        <w:t>
          Jeffrey and Nicole Johnson, trustees of the Johnson Family Trust, own Unit 6 at 505 Harborview Terrace in San Pedro Harbor Walk, a 19-unit detached condominium community governed by CC&amp;Rs recorded in 1997. For most of its history the HOA operated informally and did little architectural enforcement. It has never adopted written architectural guidelines or objective color standards, even though Article XI, Section 5 of the CC&amp;Rs imposes a duty to promulgate reasonable standards. The three-member board acts as the Architectural Control Committee.
          <w:br/>
          <w:br/>
          The Johnsons have been in three architectural disputes with the board. In 2022, Ms. Johnson painted the home’s natural stone facade without approval. The board cited a violation, denied the Johnsons’ proposed color scheme as "too dark," and retained counsel. In September 2022, the Johnsons agreed to return the stone to its natural state by sandblasting, at a cost of approximately $1,000.
          <w:br/>
          <w:br/>
          In July 2025, the Johnsons applied to repaint the home. The HOA treated the application as incomplete, and its correspondence gave inconsistent statements about the application’s status. The Johnsons completed the painting in September 2025 after receiving a cease-and-desist letter. The HOA has not fined them, but the project remains unresolved on the HOA’s portal.
          <w:br/>
          <w:br/>
          In July 2026, the Johnsons applied to replace their front-yard fence and paint the retaining wall. The board denied the application on August 13, 2026. It found the design inconsistent with the community’s character and stated that the fence and wall are association-maintained improvements.
          <w:br/>
          <w:br/>
          Throughout this period, the Johnsons have made repeated records requests. The HOA has produced substantial material but has withheld or failed to locate several specifically identified records, including the "Design Guidelines" referenced in its 2026 Annual Policy Statement and any record designating the board as the Architectural Control Committee. The Johnsons also identified irregularities in HOA elections between 2019 and 2024. The February 4, 2026 election, the first conducted by an outside professional inspector, appears to have been properly held.
          <w:br/>
          <w:br/>
          The Johnsons’ principal objectives are:
          <w:br/>
          <w:br/>
          correction of the 2025 painting project’s status;
          <w:br/>
          production of outstanding HOA records;
          <w:br/>
          reversal of disputed late charges;
          <w:br/>
          reimbursement of their compliance costs;
          <w:br/>
          an independent review of the HOA’s legal and enforcement spending; and
          <w:br/>
          evaluation of a derivative claim to recover HOA funds spent enforcing unwritten standards.
          <w:br/>
          <w:br/>
          At this time, the strongest positions are the non-monetary ones: correcting the project status, enforcing the records requests, and establishing that the HOA has no adopted architectural standards. The claims for monetary recovery, the derivative claim, and any challenge to the 2026 election are considerably weaker. Any claim arising from the 2022 events is at or near the end of its limitations period.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D41496" w:rsidP="0054507B">
            <w:pPr>
              <w:spacing w:afterLines="0" w:after="0"/>
              <w:rPr>
                <w:rFonts w:cs="Times New Roman"/>
                <w:sz w:val="20"/>
                <w:szCs w:val="20"/>
              </w:rPr>
            </w:pPr>
            <w:r>
              <w:rPr>
                <w:rFonts w:cs="Times New Roman"/>
                <w:sz w:val="20"/>
                <w:szCs w:val="20"/>
              </w:rPr>
              <w:t>Jeffrey Johnson</w:t>
            </w:r>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D41496" w:rsidP="0054507B">
            <w:pPr>
              <w:spacing w:afterLines="0" w:after="0"/>
              <w:rPr>
                <w:rFonts w:cs="Times New Roman"/>
                <w:sz w:val="20"/>
                <w:szCs w:val="20"/>
              </w:rPr>
            </w:pPr>
            <w:r>
              <w:rPr>
                <w:rFonts w:cs="Times New Roman"/>
                <w:sz w:val="20"/>
                <w:szCs w:val="20"/>
              </w:rPr>
              <w:t>San Pedro Harbor Walk Corporation</w:t>
            </w:r>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D41496" w:rsidP="0054507B">
            <w:pPr>
              <w:spacing w:afterLines="0" w:after="0"/>
              <w:rPr>
                <w:rFonts w:cs="Times New Roman"/>
                <w:sz w:val="20"/>
                <w:szCs w:val="20"/>
              </w:rPr>
            </w:pPr>
            <w:r>
              <w:rPr>
                <w:rFonts w:cs="Times New Roman"/>
                <w:sz w:val="20"/>
                <w:szCs w:val="20"/>
              </w:rPr>
              <w:t>HOA</w:t>
            </w:r>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r>
        <w:rPr>
          <w:rFonts w:cs="Times New Roman"/>
          <w:szCs w:val="24"/>
        </w:rPr>
        <w:t>When exactly was the stone sandblasted, and when did you pay for it? If possible, please send the invoice and proof of payment.</w:t>
      </w:r>
      <w:r w:rsidR="0009017B">
        <w:rPr>
          <w:rFonts w:cs="Times New Roman"/>
          <w:szCs w:val="24"/>
        </w:rPr>
        <w:t xml:space="preserve"> </w:t>
      </w:r>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1BC8C939" w14:textId="77777777" w:rsidR="00EE31B6" w:rsidRDefault="00EE31B6" w:rsidP="00EE31B6">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Issues/Questions Posed by Client</w:t>
      </w:r>
    </w:p>
    <w:p w14:paraId="172F46F5" w14:textId="56F81034" w:rsidR="00BC063A" w:rsidRDefault="00FF459B" w:rsidP="00424CA7">
      <w:pPr>
        <w:spacing w:after="264"/>
        <w:rPr>
          <w:rFonts w:cs="Times New Roman"/>
          <w:szCs w:val="24"/>
        </w:rPr>
      </w:pPr>
      <w:r w:rsidRPr="00FF459B">
        <w:rPr>
          <w:rFonts w:cs="Times New Roman"/>
          <w:szCs w:val="24"/>
          <w:highlight w:val="green"/>
        </w:rPr>
        <w:lastRenderedPageBreak/>
        <w:t xml:space="preserve">******Describe the issues/questions that Client wants the Firm to analyze/respond to. </w:t>
      </w:r>
      <w:r w:rsidR="002E31D0">
        <w:rPr>
          <w:rFonts w:cs="Times New Roman"/>
          <w:szCs w:val="24"/>
          <w:highlight w:val="green"/>
        </w:rPr>
        <w:t xml:space="preserve">This is also the section that you will provide any responses/conclusions/thoughts. </w:t>
      </w:r>
      <w:r>
        <w:rPr>
          <w:rFonts w:cs="Times New Roman"/>
          <w:szCs w:val="24"/>
          <w:highlight w:val="green"/>
        </w:rPr>
        <w:t>To preserve consistency, f</w:t>
      </w:r>
      <w:r w:rsidRPr="00FF459B">
        <w:rPr>
          <w:rFonts w:cs="Times New Roman"/>
          <w:szCs w:val="24"/>
          <w:highlight w:val="green"/>
        </w:rPr>
        <w:t xml:space="preserve">ollow the formatting </w:t>
      </w:r>
      <w:r>
        <w:rPr>
          <w:rFonts w:cs="Times New Roman"/>
          <w:szCs w:val="24"/>
          <w:highlight w:val="green"/>
        </w:rPr>
        <w:t>established above</w:t>
      </w:r>
      <w:r w:rsidR="00AE6A1C">
        <w:rPr>
          <w:rFonts w:cs="Times New Roman"/>
          <w:szCs w:val="24"/>
          <w:highlight w:val="green"/>
        </w:rPr>
        <w:t>.</w:t>
      </w:r>
      <w:r w:rsidRPr="00BC063A">
        <w:rPr>
          <w:rFonts w:cs="Times New Roman"/>
          <w:szCs w:val="24"/>
          <w:highlight w:val="green"/>
        </w:rPr>
        <w:t>******</w:t>
      </w:r>
    </w:p>
    <w:p w14:paraId="0BABE385" w14:textId="5CCE057C" w:rsidR="00AE6A1C" w:rsidRPr="00AE6A1C" w:rsidRDefault="00AE6A1C" w:rsidP="00424CA7">
      <w:pPr>
        <w:spacing w:after="264"/>
        <w:rPr>
          <w:rFonts w:cs="Times New Roman"/>
          <w:szCs w:val="24"/>
          <w:highlight w:val="green"/>
        </w:rPr>
      </w:pPr>
      <w:r w:rsidRPr="00AE6A1C">
        <w:rPr>
          <w:rFonts w:cs="Times New Roman"/>
          <w:szCs w:val="24"/>
          <w:highlight w:val="green"/>
        </w:rPr>
        <w:t>******The data you input from the Questionnaire appears here:</w:t>
      </w:r>
    </w:p>
    <w:p w14:paraId="3677725A" w14:textId="0E52C092" w:rsidR="00AE6A1C" w:rsidRDefault="00D41496" w:rsidP="00424CA7">
      <w:pPr>
        <w:spacing w:after="264"/>
        <w:rPr>
          <w:rFonts w:cs="Times New Roman"/>
          <w:szCs w:val="24"/>
        </w:rPr>
      </w:pPr>
      <w:r>
        <w:rPr>
          <w:rFonts w:cs="Times New Roman"/>
          <w:szCs w:val="24"/>
          <w:highlight w:val="green"/>
        </w:rPr>
        <w:t>*********</w:t>
      </w:r>
      <w:r w:rsidR="00AE6A1C" w:rsidRPr="00AE6A1C">
        <w:rPr>
          <w:rFonts w:cs="Times New Roman"/>
          <w:szCs w:val="24"/>
          <w:highlight w:val="green"/>
        </w:rPr>
        <w:t>******</w:t>
      </w:r>
    </w:p>
    <w:p w14:paraId="17B25052" w14:textId="398FDEEA" w:rsidR="00673C07" w:rsidRDefault="00673C07" w:rsidP="00673C07">
      <w:pPr>
        <w:pStyle w:val="Line"/>
      </w:pPr>
      <w:bookmarkStart w:id="33" w:name="_Hlk43361354"/>
      <w:r w:rsidRPr="00AA7954">
        <w:t>________________________________</w:t>
      </w:r>
      <w:bookmarkEnd w:id="33"/>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bookmarkStart w:id="35" w:name="_Hlk41294021"/>
    <w:p w14:paraId="55ED3BE0" w14:textId="77777777" w:rsidR="003F0E15" w:rsidRDefault="00FD7882" w:rsidP="00FD7882">
      <w:pPr>
        <w:spacing w:after="264"/>
        <w:rPr>
          <w:rFonts w:cs="Times New Roman"/>
          <w:bCs/>
          <w:szCs w:val="24"/>
        </w:rPr>
      </w:pPr>
      <w:r>
        <w:rPr>
          <w:rFonts w:cs="Times New Roman"/>
          <w:bCs/>
          <w:szCs w:val="24"/>
        </w:rPr>
        <w:t xml:space="preserve">The Davis-Stirling Act </w:t>
      </w:r>
      <w:r w:rsidR="005129BC">
        <w:rPr>
          <w:rFonts w:cs="Times New Roman"/>
          <w:bCs/>
          <w:szCs w:val="24"/>
        </w:rPr>
        <w:t xml:space="preserve">is applicable to the facts, issues, and questions raised by Client. </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Jeffrey Johnson</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