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Helbig v. Ocean View Housing Development Association</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Client owns the real property located at 53 South Branciforte, Santa Cruz, CA 95062 (the “Property”). On May 13, 2023, a massive amount of sewage water entered the Property through its laundry room, causing significant damage to the interior of the Property. Despite Client’s repeated cries for help and extensive efforts to mitigate her damages, the HOA failed to take timely and appropriate action, exposing Client, her family, and the Property to further harm. Since the initial sewage backup, Client experienced additional sewage backup on numerous occasions.</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C1630" w:rsidP="00B83DD4">
            <w:pPr>
              <w:spacing w:afterLines="0" w:after="0"/>
              <w:rPr>
                <w:rFonts w:ascii="Times New Roman" w:hAnsi="Times New Roman" w:cs="Times New Roman"/>
                <w:sz w:val="20"/>
                <w:szCs w:val="20"/>
              </w:rPr>
            </w:pPr>
            <w:r>
              <w:rPr>
                <w:rFonts w:cs="Times New Roman"/>
                <w:sz w:val="20"/>
                <w:szCs w:val="20"/>
              </w:rPr>
              <w:t>Claire Helbig ("Client")</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Claire Helbig ("Client")</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Client</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Article XIV, Section 14.02</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May 13, 2026</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r>
        <w:rPr>
          <w:rFonts w:cs="Times New Roman"/>
          <w:szCs w:val="24"/>
        </w:rPr>
        <w:t>Santa Cruz</w:t>
      </w:r>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Santa Cruz</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1"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Article XIV, Section 14.03</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Helbig v. Ocean View Housing Development Association</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