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Forte v. Village Green Condos</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 owns the real property located at 5518 Village Green, Los Angeles, CA 90016 (the "Property"), which is situated within the HOA, a community of 629 condominiums located in the Baldwin Hills area of Los Angeles and spread over 68 acres of land.
          <w:br/>
          <w:br/>
          On or about September 16, 2025, the occupant of the upstairs unit overflowed their bathtub, causing water to pour down into the Property and damage the ceiling. Although the HOA sent a vendor to inspect the damage and prepare an estimate, from the information available, it appears that the unit was never dried out and no water restoration or mold remediation took place.  In fact, it is unclear if the Property has mold because such testing has not taken place.
          <w:br/>
          <w:br/>
          Client seeks to compel the HOA to remediate the ceiling. She has expressly stated that she cannot move out of the Property due to her advanced age, and the HOA’s vendors have apparently suggested that she may need to do so during any remediation.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123934" w:rsidRPr="007C6F41" w14:paraId="2EB40307" w14:textId="77777777" w:rsidTr="00BD63FA">
        <w:trPr>
          <w:trHeight w:val="827"/>
        </w:trPr>
        <w:tc>
          <w:tcPr>
            <w:tcW w:w="5215" w:type="dxa"/>
            <w:shd w:val="clear" w:color="auto" w:fill="BDD6EE" w:themeFill="accent1" w:themeFillTint="66"/>
            <w:vAlign w:val="center"/>
          </w:tcPr>
          <w:p w14:paraId="002C3430" w14:textId="77777777" w:rsidR="00123934" w:rsidRPr="007C6F41" w:rsidRDefault="00123934" w:rsidP="0054507B">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3C05344B" w14:textId="5A65889F" w:rsidR="00123934" w:rsidRPr="007C6F41" w:rsidRDefault="00B71E52" w:rsidP="0054507B">
            <w:pPr>
              <w:spacing w:afterLines="0" w:after="0"/>
              <w:rPr>
                <w:rFonts w:cs="Times New Roman"/>
                <w:b/>
              </w:rPr>
            </w:pPr>
            <w:r w:rsidRPr="007C6F41">
              <w:rPr>
                <w:rFonts w:cs="Times New Roman"/>
                <w:b/>
              </w:rPr>
              <w:t>Significance to Underlying Matter/Dispute</w:t>
            </w:r>
          </w:p>
        </w:tc>
      </w:tr>
      <w:tr w:rsidR="00123934" w:rsidRPr="007C6F41" w14:paraId="686DFDC4" w14:textId="77777777" w:rsidTr="00175012">
        <w:trPr>
          <w:trHeight w:val="1070"/>
        </w:trPr>
        <w:tc>
          <w:tcPr>
            <w:tcW w:w="5215" w:type="dxa"/>
            <w:vAlign w:val="center"/>
          </w:tcPr>
          <w:p w14:paraId="34958886" w14:textId="42A5E3A7" w:rsidR="00C27455" w:rsidRPr="007C6F41" w:rsidRDefault="00D41496" w:rsidP="0054507B">
            <w:pPr>
              <w:spacing w:afterLines="0" w:after="0"/>
              <w:rPr>
                <w:rFonts w:cs="Times New Roman"/>
                <w:sz w:val="20"/>
                <w:szCs w:val="20"/>
              </w:rPr>
            </w:pPr>
            <w:r>
              <w:rPr>
                <w:rFonts w:cs="Times New Roman"/>
                <w:sz w:val="20"/>
                <w:szCs w:val="20"/>
              </w:rPr>
              <w:t>Margaret "Peggy" Forte</w:t>
            </w:r>
            <w:r w:rsidR="006C37BD">
              <w:rPr>
                <w:rFonts w:cs="Times New Roman"/>
                <w:sz w:val="20"/>
                <w:szCs w:val="20"/>
              </w:rPr>
              <w:t xml:space="preserve"> (“Client”)</w:t>
            </w:r>
          </w:p>
        </w:tc>
        <w:tc>
          <w:tcPr>
            <w:tcW w:w="5490" w:type="dxa"/>
            <w:vAlign w:val="center"/>
          </w:tcPr>
          <w:p w14:paraId="02C2978B" w14:textId="77777777" w:rsidR="00EC6A14" w:rsidRPr="007C6F41" w:rsidRDefault="00EC6A14" w:rsidP="0054507B">
            <w:pPr>
              <w:spacing w:afterLines="0" w:after="0"/>
              <w:rPr>
                <w:rFonts w:cs="Times New Roman"/>
                <w:sz w:val="20"/>
                <w:szCs w:val="20"/>
              </w:rPr>
            </w:pPr>
          </w:p>
          <w:p w14:paraId="657295A6" w14:textId="1E717C84" w:rsidR="005254A1" w:rsidRPr="007C6F41" w:rsidRDefault="005254A1" w:rsidP="0054507B">
            <w:pPr>
              <w:spacing w:afterLines="0" w:after="0"/>
              <w:rPr>
                <w:rFonts w:cs="Times New Roman"/>
                <w:sz w:val="20"/>
                <w:szCs w:val="20"/>
              </w:rPr>
            </w:pPr>
            <w:r w:rsidRPr="007C6F41">
              <w:rPr>
                <w:rFonts w:cs="Times New Roman"/>
                <w:sz w:val="20"/>
                <w:szCs w:val="20"/>
              </w:rPr>
              <w:t>Client</w:t>
            </w:r>
            <w:r w:rsidR="005057AA" w:rsidRPr="007C6F41">
              <w:rPr>
                <w:rFonts w:cs="Times New Roman"/>
                <w:sz w:val="20"/>
                <w:szCs w:val="20"/>
              </w:rPr>
              <w:t xml:space="preserve"> / HOA Member</w:t>
            </w:r>
          </w:p>
          <w:p w14:paraId="7FAB4473" w14:textId="26249B9D" w:rsidR="004D6471" w:rsidRPr="007C6F41" w:rsidRDefault="004D6471" w:rsidP="0054507B">
            <w:pPr>
              <w:spacing w:afterLines="0" w:after="0"/>
              <w:rPr>
                <w:rFonts w:cs="Times New Roman"/>
                <w:sz w:val="20"/>
                <w:szCs w:val="20"/>
              </w:rPr>
            </w:pPr>
          </w:p>
        </w:tc>
      </w:tr>
      <w:tr w:rsidR="00E4074A" w:rsidRPr="0076627F" w14:paraId="16D92C83" w14:textId="77777777" w:rsidTr="00175012">
        <w:trPr>
          <w:trHeight w:val="926"/>
        </w:trPr>
        <w:tc>
          <w:tcPr>
            <w:tcW w:w="5215" w:type="dxa"/>
            <w:vAlign w:val="center"/>
          </w:tcPr>
          <w:p w14:paraId="24F6A6A9" w14:textId="2CF9E76E" w:rsidR="00E4074A" w:rsidRPr="007C6F41" w:rsidRDefault="00D41496" w:rsidP="0054507B">
            <w:pPr>
              <w:spacing w:afterLines="0" w:after="0"/>
              <w:rPr>
                <w:rFonts w:cs="Times New Roman"/>
                <w:sz w:val="20"/>
                <w:szCs w:val="20"/>
              </w:rPr>
            </w:pPr>
            <w:r>
              <w:rPr>
                <w:rFonts w:cs="Times New Roman"/>
                <w:sz w:val="20"/>
                <w:szCs w:val="20"/>
              </w:rPr>
              <w:t>The Village Green Owners Association ("HOA")</w:t>
            </w:r>
            <w:r w:rsidR="006C37BD">
              <w:rPr>
                <w:rFonts w:cs="Times New Roman"/>
                <w:sz w:val="20"/>
                <w:szCs w:val="20"/>
              </w:rPr>
              <w:t xml:space="preserve"> </w:t>
            </w:r>
          </w:p>
        </w:tc>
        <w:tc>
          <w:tcPr>
            <w:tcW w:w="5490" w:type="dxa"/>
            <w:vAlign w:val="center"/>
          </w:tcPr>
          <w:p w14:paraId="6CC206BC" w14:textId="77777777" w:rsidR="00EC6A14" w:rsidRPr="007C6F41" w:rsidRDefault="00EC6A14" w:rsidP="0054507B">
            <w:pPr>
              <w:spacing w:afterLines="0" w:after="0"/>
              <w:rPr>
                <w:rFonts w:cs="Times New Roman"/>
                <w:sz w:val="20"/>
                <w:szCs w:val="20"/>
              </w:rPr>
            </w:pPr>
          </w:p>
          <w:p w14:paraId="73D5715E" w14:textId="1EA8B76C" w:rsidR="00E4074A" w:rsidRPr="007C6F41" w:rsidRDefault="00D41496" w:rsidP="0054507B">
            <w:pPr>
              <w:spacing w:afterLines="0" w:after="0"/>
              <w:rPr>
                <w:rFonts w:cs="Times New Roman"/>
                <w:sz w:val="20"/>
                <w:szCs w:val="20"/>
              </w:rPr>
            </w:pPr>
            <w:r>
              <w:rPr>
                <w:rFonts w:cs="Times New Roman"/>
                <w:sz w:val="20"/>
                <w:szCs w:val="20"/>
              </w:rPr>
              <w:t>HOA</w:t>
            </w:r>
          </w:p>
          <w:p w14:paraId="25646090" w14:textId="5E1C0415" w:rsidR="004D6471" w:rsidRPr="007C6F41" w:rsidRDefault="004D6471" w:rsidP="0054507B">
            <w:pPr>
              <w:spacing w:afterLines="0" w:after="0"/>
              <w:rPr>
                <w:rFonts w:cs="Times New Roman"/>
                <w:sz w:val="20"/>
                <w:szCs w:val="20"/>
              </w:rPr>
            </w:pPr>
          </w:p>
        </w:tc>
      </w:tr>
    </w:tbl>
    <w:p w14:paraId="7A9705E0" w14:textId="3AEDD46D"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E42E17C" w14:textId="21CC5C99" w:rsidR="0075304D" w:rsidRDefault="009032FC" w:rsidP="0075304D">
      <w:pPr>
        <w:spacing w:after="264"/>
        <w:rPr>
          <w:rFonts w:cs="Times New Roman"/>
          <w:szCs w:val="24"/>
        </w:rPr>
      </w:pPr>
      <w:bookmarkStart w:id="4" w:name="_Hlk43363524"/>
      <w:r>
        <w:rPr>
          <w:rFonts w:cs="Times New Roman"/>
          <w:szCs w:val="24"/>
        </w:rPr>
        <w:t>The Firm should follow up with Client regarding the following items/issues:</w:t>
      </w:r>
    </w:p>
    <w:p w14:paraId="04A6D186" w14:textId="1CDDF846" w:rsidR="0075304D" w:rsidRDefault="0075304D" w:rsidP="0075304D">
      <w:pPr>
        <w:spacing w:after="264"/>
        <w:ind w:left="1080" w:hanging="360"/>
        <w:rPr>
          <w:rFonts w:cs="Times New Roman"/>
          <w:szCs w:val="24"/>
        </w:rPr>
      </w:pPr>
      <w:r>
        <w:rPr>
          <w:rFonts w:cs="Times New Roman"/>
          <w:szCs w:val="24"/>
        </w:rPr>
        <w:t xml:space="preserve">—  </w:t>
      </w:r>
      <w:r>
        <w:rPr>
          <w:rFonts w:cs="Times New Roman"/>
          <w:szCs w:val="24"/>
        </w:rPr>
        <w:t>Client intends to send us a timeline</w:t>
      </w:r>
      <w:r w:rsidR="0009017B">
        <w:rPr>
          <w:rFonts w:cs="Times New Roman"/>
          <w:szCs w:val="24"/>
        </w:rPr>
        <w:t xml:space="preserve"> </w:t>
      </w:r>
    </w:p>
    <w:p w14:paraId="44A16A5D" w14:textId="587614E1" w:rsidR="00F4736A" w:rsidRDefault="00F4736A" w:rsidP="00F4736A">
      <w:pPr>
        <w:pStyle w:val="NormalEnd"/>
        <w:spacing w:after="264"/>
      </w:pPr>
      <w:r w:rsidRPr="00DC2DC5">
        <w:rPr>
          <w:rStyle w:val="property1"/>
          <w:color w:val="auto"/>
        </w:rPr>
        <w:t xml:space="preserve">This section of the </w:t>
      </w:r>
      <w:r>
        <w:t>Preliminary Analysis</w:t>
      </w:r>
      <w:r w:rsidRPr="00DC2DC5">
        <w:rPr>
          <w:rStyle w:val="property1"/>
          <w:color w:val="auto"/>
        </w:rPr>
        <w:t xml:space="preserve"> may be amended from time to time as new information becomes known.</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4FC8F13D" w14:textId="277CD3B8" w:rsidR="003D5F3C" w:rsidRDefault="003D5F3C" w:rsidP="00CD069B">
      <w:pPr>
        <w:pStyle w:val="NormalEnd"/>
        <w:spacing w:after="264"/>
      </w:pPr>
      <w:r>
        <w:t>The HOA produced some documents in response to a Civil Code section 5200 demand. The Firm will complete its review of those documents to determine whether any that should’ve been included are in fact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295F16F3" w14:textId="05C8F556" w:rsidR="007C628C" w:rsidRDefault="00E75B2C" w:rsidP="007F3488">
      <w:pPr>
        <w:spacing w:after="264"/>
        <w:rPr>
          <w:rFonts w:cs="Times New Roman"/>
          <w:szCs w:val="24"/>
        </w:rPr>
      </w:pPr>
      <w:bookmarkStart w:id="5" w:name="_Hlk43368188"/>
      <w:r>
        <w:rPr>
          <w:rFonts w:cs="Times New Roman"/>
          <w:szCs w:val="24"/>
        </w:rPr>
        <w:t xml:space="preserve">The Firm needs to ask Client </w:t>
      </w:r>
      <w:r w:rsidR="009D5AA1">
        <w:rPr>
          <w:rFonts w:cs="Times New Roman"/>
          <w:szCs w:val="24"/>
        </w:rPr>
        <w:t>for the</w:t>
      </w:r>
      <w:r>
        <w:rPr>
          <w:rFonts w:cs="Times New Roman"/>
          <w:szCs w:val="24"/>
        </w:rPr>
        <w:t xml:space="preserve"> following documents:</w:t>
      </w:r>
    </w:p>
    <w:p w14:paraId="0978A3B6" w14:textId="52A1126F" w:rsidR="009B3715" w:rsidRDefault="009B3715" w:rsidP="009B3715">
      <w:pPr>
        <w:spacing w:after="264"/>
        <w:ind w:left="1080" w:hanging="360"/>
        <w:rPr>
          <w:rFonts w:cs="Times New Roman"/>
          <w:szCs w:val="24"/>
        </w:rPr>
      </w:pPr>
      <w:r>
        <w:rPr>
          <w:rFonts w:cs="Times New Roman"/>
          <w:szCs w:val="24"/>
        </w:rPr>
        <w:t xml:space="preserve">—  </w:t>
      </w:r>
      <w:r>
        <w:rPr>
          <w:rFonts w:cs="Times New Roman"/>
          <w:szCs w:val="24"/>
        </w:rPr>
        <w:t>A detailed timeline</w:t>
      </w:r>
    </w:p>
    <w:p w14:paraId="7F00E508" w14:textId="53AAF044" w:rsidR="00C915B1" w:rsidRPr="00D979C9" w:rsidRDefault="00C915B1" w:rsidP="00D979C9">
      <w:pPr>
        <w:pStyle w:val="NormalEnd"/>
        <w:spacing w:after="264"/>
        <w:rPr>
          <w:rStyle w:val="property1"/>
          <w:color w:val="auto"/>
        </w:rPr>
      </w:pPr>
      <w:r w:rsidRPr="00D979C9">
        <w:rPr>
          <w:rStyle w:val="property1"/>
          <w:color w:val="auto"/>
        </w:rPr>
        <w:t xml:space="preserve">This section of the </w:t>
      </w:r>
      <w:r w:rsidR="0038079C" w:rsidRPr="00D979C9">
        <w:rPr>
          <w:rStyle w:val="property1"/>
          <w:color w:val="auto"/>
        </w:rPr>
        <w:t>Preliminary Analysis</w:t>
      </w:r>
      <w:r w:rsidRPr="00D979C9">
        <w:rPr>
          <w:rStyle w:val="property1"/>
          <w:color w:val="auto"/>
        </w:rPr>
        <w:t xml:space="preserve"> may be amended from time to time if Client locates additional documents, or if a third party produces additional documents.</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p w14:paraId="03D8BE70" w14:textId="01A9BBE2" w:rsidR="00A75054" w:rsidRDefault="00E02E28" w:rsidP="000A2D54">
      <w:pPr>
        <w:spacing w:after="264"/>
        <w:ind w:left="1080" w:hanging="360"/>
        <w:rPr>
          <w:rFonts w:cs="Times New Roman"/>
          <w:bCs/>
          <w:szCs w:val="24"/>
        </w:rPr>
      </w:pPr>
      <w:r>
        <w:rPr>
          <w:rFonts w:cs="Times New Roman"/>
          <w:bCs/>
          <w:szCs w:val="24"/>
        </w:rPr>
        <w:t xml:space="preserve">—  </w:t>
      </w:r>
      <w:r w:rsidR="00A321DF" w:rsidRPr="00E44C81">
        <w:rPr>
          <w:rFonts w:cs="Times New Roman"/>
          <w:bCs/>
          <w:szCs w:val="24"/>
        </w:rPr>
        <w:t xml:space="preserve">One of the fundamental duties of </w:t>
      </w:r>
      <w:r w:rsidR="006419DB" w:rsidRPr="00E44C81">
        <w:rPr>
          <w:rFonts w:cs="Times New Roman"/>
          <w:bCs/>
          <w:szCs w:val="24"/>
        </w:rPr>
        <w:t>an HOA</w:t>
      </w:r>
      <w:r w:rsidR="00A321DF" w:rsidRPr="00E44C81">
        <w:rPr>
          <w:rFonts w:cs="Times New Roman"/>
          <w:bCs/>
          <w:szCs w:val="24"/>
        </w:rPr>
        <w:t xml:space="preserve"> is to maintain the common areas. (Civ. Code</w:t>
      </w:r>
      <w:r w:rsidR="004D23A6" w:rsidRPr="00E44C81">
        <w:rPr>
          <w:rFonts w:cs="Times New Roman"/>
          <w:bCs/>
          <w:szCs w:val="24"/>
        </w:rPr>
        <w:t>,</w:t>
      </w:r>
      <w:r w:rsidR="00A321DF" w:rsidRPr="00E44C81">
        <w:rPr>
          <w:rFonts w:cs="Times New Roman"/>
          <w:bCs/>
          <w:szCs w:val="24"/>
        </w:rPr>
        <w:t xml:space="preserve"> § 4775.) In performing its duties, an association shall perform a reasonably competent and diligent visual inspection of the accessible areas of the major components that the association is obligated to repair, replace, restore or maintain. (Civ. Code</w:t>
      </w:r>
      <w:r w:rsidR="004D23A6" w:rsidRPr="00E44C81">
        <w:rPr>
          <w:rFonts w:cs="Times New Roman"/>
          <w:bCs/>
          <w:szCs w:val="24"/>
        </w:rPr>
        <w:t>,</w:t>
      </w:r>
      <w:r w:rsidR="00A321DF" w:rsidRPr="00E44C81">
        <w:rPr>
          <w:rFonts w:cs="Times New Roman"/>
          <w:bCs/>
          <w:szCs w:val="24"/>
        </w:rPr>
        <w:t xml:space="preserve"> § 5500(a).)</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1B59E5E9" w14:textId="77777777" w:rsidR="003F0E15" w:rsidRDefault="001A327C" w:rsidP="001A327C">
      <w:pPr>
        <w:spacing w:after="264"/>
        <w:ind w:left="1080" w:hanging="360"/>
        <w:rPr>
          <w:rStyle w:val="property1"/>
          <w:rFonts w:eastAsia="Times New Roman"/>
        </w:rPr>
      </w:pPr>
      <w:bookmarkStart w:id="14" w:name="_Hlk41131756"/>
      <w:r>
        <w:rPr>
          <w:rFonts w:cs="Times New Roman"/>
          <w:bCs/>
          <w:szCs w:val="24"/>
        </w:rPr>
        <w:t xml:space="preserve">—  </w:t>
      </w:r>
      <w:r w:rsidR="00E64351">
        <w:rPr>
          <w:rFonts w:cs="Times New Roman"/>
          <w:bCs/>
          <w:szCs w:val="24"/>
        </w:rPr>
        <w:t>The “failure to maintain” issue discussed in the context of the “Breach of CC&amp;Rs” cause of action above is also applicable in the context of a negligence claim.</w:t>
      </w:r>
      <w:bookmarkEnd w:id="14"/>
      <w:r w:rsidR="00E64351">
        <w:rPr>
          <w:rFonts w:cs="Times New Roman"/>
          <w:szCs w:val="24"/>
        </w:rPr>
        <w:t xml:space="preserve"> </w:t>
      </w:r>
    </w:p>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467BD6E3" w14:textId="77777777" w:rsidR="003F0E15" w:rsidRDefault="002B6C02" w:rsidP="000B74A2">
      <w:pPr>
        <w:spacing w:after="264"/>
        <w:ind w:left="1080" w:hanging="360"/>
        <w:rPr>
          <w:rFonts w:cs="Times New Roman"/>
          <w:szCs w:val="24"/>
        </w:rPr>
      </w:pPr>
      <w:r>
        <w:rPr>
          <w:rFonts w:cs="Times New Roman"/>
          <w:bCs/>
          <w:szCs w:val="24"/>
        </w:rPr>
        <w:t>—  The “failure to maintain” issue discussed in the context of the “Breach of CC&amp;Rs” and “Negligence” causes of action above is also applicable in the context of a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59C77E26" w14:textId="77777777" w:rsidR="003F0E15" w:rsidRDefault="00AE77A7" w:rsidP="0028185A">
      <w:pPr>
        <w:spacing w:after="264"/>
        <w:ind w:left="1080" w:hanging="360"/>
        <w:rPr>
          <w:rFonts w:cs="Times New Roman"/>
          <w:bCs/>
          <w:szCs w:val="24"/>
        </w:rPr>
      </w:pPr>
      <w:r>
        <w:rPr>
          <w:rFonts w:cs="Times New Roman"/>
          <w:bCs/>
          <w:szCs w:val="24"/>
        </w:rPr>
        <w:t>—  The “failure to maintain” issue discussed in the context of the “Breach of CC&amp;Rs,” “Negligence,” and “Nuisance” causes of action above is also applicable in the context of a claim for declaratory relief.</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2D42C1A0" w14:textId="56EB2880" w:rsidR="003F0E15" w:rsidRDefault="008B55CB" w:rsidP="00124867">
      <w:pPr>
        <w:spacing w:after="264"/>
        <w:rPr>
          <w:rFonts w:cs="Times New Roman"/>
          <w:bCs/>
          <w:szCs w:val="24"/>
        </w:rPr>
      </w:pPr>
      <w:r>
        <w:rPr>
          <w:rFonts w:cs="Times New Roman"/>
          <w:bCs/>
          <w:szCs w:val="24"/>
        </w:rPr>
        <w:lastRenderedPageBreak/>
        <w:t>If this dispute is adjudicated, the prevailing party will be entitled to attorneys’ fees and costs under the Davis-Stirling Act. I</w:t>
      </w:r>
      <w:r w:rsidR="00C87DA9" w:rsidRPr="00CB094B">
        <w:rPr>
          <w:rFonts w:cs="Times New Roman"/>
          <w:bCs/>
          <w:szCs w:val="24"/>
        </w:rPr>
        <w:t>n addition, the prevailing part</w:t>
      </w:r>
      <w:r w:rsidR="00714E08">
        <w:rPr>
          <w:rFonts w:cs="Times New Roman"/>
          <w:bCs/>
          <w:szCs w:val="24"/>
        </w:rPr>
        <w:t>y</w:t>
      </w:r>
      <w:r w:rsidR="00C87DA9" w:rsidRPr="00CB094B">
        <w:rPr>
          <w:rFonts w:cs="Times New Roman"/>
          <w:bCs/>
          <w:szCs w:val="24"/>
        </w:rPr>
        <w:t xml:space="preserve"> in any such litigation will also be entitled to their attorneys’ fees and costs under </w:t>
      </w:r>
      <w:r>
        <w:rPr>
          <w:rFonts w:cs="Times New Roman"/>
          <w:bCs/>
          <w:szCs w:val="24"/>
        </w:rPr>
        <w:t>Section 23</w:t>
      </w:r>
      <w:r w:rsidR="00C87DA9" w:rsidRPr="00CB094B">
        <w:rPr>
          <w:rFonts w:cs="Times New Roman"/>
          <w:bCs/>
          <w:szCs w:val="24"/>
        </w:rPr>
        <w:t xml:space="preserve"> of the CC&amp;Rs.</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Forte v. Village Green Condos</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