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McGuinness v. Laurel Bay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owns the real property located at 2400 5th Avenue, Unit 214, San Diego, CA 92101 (the "Property"), which makes him a member of the HOA (defined below). The HOA is composed of residential and commercial units. This is significant in this matter because the cause of the noise and vibration that is disturbing Client’s use and enjoyment of the Property stems from one of the commercial units. Client has reported the ongoing noise and vibration to the HOA and the HOA has taken little, if any, action to abate the nuisance and/or discipline the offending member. 
          <w:br/>
          <w:br/>
          Consequently, Client has viable claims against the HOA for inter alia:
          <w:br/>
          <w:br/>
          (i) breach of the CC&amp;Rs;
          <w:br/>
          (ii) breach of other governing documents;
          <w:br/>
          (iii) breach of board’s fiduciary duty; and
          <w:br/>
          (iv) nuisance.
          <w:br/>
          <w:br/>
          Client can also seek declaratory relief if any of the foregoing claims do not come to fruition because it is clear that the persistent noise and vibrations constitutes an interference with Client’s use and enjoyment of his home.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Ryan Dunagan-McGuinness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Laurel Bay Community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Corner Drafthouse ("CD")</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15, Section 15.2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15, Section 15.5</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McGuinness v. Laurel Bay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