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Hill v. Hidden Hills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The HOA has been imposing a daily fine of $500 per day on Client. The accumulated fine is approximately $70,000. Client felt that the HOA its ARC have and continued to harass him, causing him emotional distress. In addition, he has long-standing grievances toward his neighbor, Steve Freedland, the Mayor of the City of Hidden Hills.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Cliff Hill</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Hidden Hills Homeowner Association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The 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Steve Freedland</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 Did you rectify the vehicle, waste, and camera violations? If so, when?</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The HOA claimed that Client violated Architectural Guidelines. We have not received it from either Client or the HOA.</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The HOA’s fine policy</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VI, Section 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Hill v. Hidden Hills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