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3439BB" w:rsidP="005C2B5C">
      <w:pPr>
        <w:spacing w:after="264"/>
        <w:jc w:val="center"/>
        <w:rPr>
          <w:rFonts w:cs="Times New Roman"/>
          <w:b/>
          <w:bCs/>
          <w:sz w:val="44"/>
          <w:szCs w:val="44"/>
        </w:rPr>
      </w:pPr>
      <w:r>
        <w:rPr>
          <w:rFonts w:cs="Times New Roman"/>
          <w:b/>
          <w:bCs/>
          <w:sz w:val="44"/>
          <w:szCs w:val="44"/>
        </w:rPr>
        <w:t>DeRosier v. Palm Crest Homeowners Association, Inc.</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3439BB" w:rsidP="00E31A1C">
      <w:pPr>
        <w:spacing w:afterLines="0" w:after="0"/>
        <w:jc w:val="center"/>
        <w:rPr>
          <w:rFonts w:cs="Times New Roman"/>
          <w:sz w:val="28"/>
          <w:szCs w:val="28"/>
        </w:rPr>
      </w:pPr>
      <w:r>
        <w:rPr>
          <w:rFonts w:cs="Times New Roman"/>
          <w:sz w:val="28"/>
          <w:szCs w:val="28"/>
        </w:rPr>
        <w:t>SE</w:t>
      </w:r>
    </w:p>
    <w:p w14:paraId="1B4DFB73" w14:textId="78AE2854"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2A2B3C">
        <w:rPr>
          <w:rFonts w:cs="Times New Roman"/>
          <w:noProof/>
          <w:szCs w:val="24"/>
        </w:rPr>
        <w:t>October 19,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3439BB" w:rsidP="00ED2D7D">
      <w:pPr>
        <w:spacing w:after="264"/>
        <w:rPr>
          <w:rFonts w:cs="Times New Roman"/>
          <w:szCs w:val="24"/>
        </w:rPr>
      </w:pPr>
      <w:r>
        <w:rPr>
          <w:rFonts w:cs="Times New Roman"/>
          <w:szCs w:val="24"/>
        </w:rPr>
        <w:t>short summary</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3439BB" w:rsidP="0054507B">
            <w:pPr>
              <w:spacing w:afterLines="0" w:after="0"/>
              <w:rPr>
                <w:rFonts w:cs="Times New Roman"/>
                <w:sz w:val="20"/>
                <w:szCs w:val="20"/>
              </w:rPr>
            </w:pPr>
            <w:r>
              <w:rPr>
                <w:rFonts w:cs="Times New Roman"/>
                <w:sz w:val="20"/>
                <w:szCs w:val="20"/>
              </w:rPr>
              <w:t>Jenna DeRosier</w:t>
            </w:r>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3439BB" w:rsidP="0054507B">
            <w:pPr>
              <w:spacing w:afterLines="0" w:after="0"/>
              <w:rPr>
                <w:rFonts w:cs="Times New Roman"/>
                <w:sz w:val="20"/>
                <w:szCs w:val="20"/>
              </w:rPr>
            </w:pPr>
            <w:r>
              <w:rPr>
                <w:rFonts w:cs="Times New Roman"/>
                <w:sz w:val="20"/>
                <w:szCs w:val="20"/>
              </w:rPr>
              <w:t>Palm Crest Homeowners Association, Inc. ("HOA")</w:t>
            </w:r>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3439BB" w:rsidP="0054507B">
            <w:pPr>
              <w:spacing w:afterLines="0" w:after="0"/>
              <w:rPr>
                <w:rFonts w:cs="Times New Roman"/>
                <w:sz w:val="20"/>
                <w:szCs w:val="20"/>
              </w:rPr>
            </w:pPr>
            <w:r>
              <w:rPr>
                <w:rFonts w:cs="Times New Roman"/>
                <w:sz w:val="20"/>
                <w:szCs w:val="20"/>
              </w:rPr>
              <w:t>HOA</w:t>
            </w:r>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r>
        <w:rPr>
          <w:rFonts w:cs="Times New Roman"/>
          <w:szCs w:val="24"/>
        </w:rPr>
        <w:t>- Client indicated that she has obtained an expert report on the cracks in her garage floor and foundation. Ask Client to provide a copy of the report, along with the expert’s name, and date of the inspection. 
- What did Client’s expert conclude about the cause of the cracks in her garage floor and foundation, the severity of the damage, and the estimated cost of repair?
-Client indicated that the HOA has refused to provide its vendor’s report on the slab. How does Client know that the HOA’s vendor prepared a report?
-Ask Client to identify where the tree she believes is causing the damage is located (in the common area, or in her exclusive use area). 
-Ask Client to provide all photos and videos of the cracks in her garage floor and foundation, including the date each was taken. 
-Is Client current on all monthly dues and assessments? Has Client paid any portion of the special assessment? 
- Has anyone besides Client complained to the HOA about the neighbor’s son?</w:t>
      </w:r>
      <w:r w:rsidR="0009017B">
        <w:rPr>
          <w:rFonts w:cs="Times New Roman"/>
          <w:szCs w:val="24"/>
        </w:rPr>
        <w:t xml:space="preserve"> </w:t>
      </w:r>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1BC8C939" w14:textId="77777777" w:rsidR="00EE31B6" w:rsidRDefault="00EE31B6" w:rsidP="00EE31B6">
      <w:pPr>
        <w:pStyle w:val="Line"/>
      </w:pPr>
      <w:r w:rsidRPr="00097C4E">
        <w:t>________________________________</w:t>
      </w:r>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70AFA15F" w14:textId="132AC2C4" w:rsidR="00CD069B" w:rsidRDefault="00CD069B" w:rsidP="00CD069B">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r>
        <w:rPr>
          <w:rFonts w:cs="Times New Roman"/>
          <w:szCs w:val="24"/>
        </w:rPr>
        <w:t>Client indicated that she has obtained an expert report on the cracks in her garage floor and foundation. Ask Client to provide a copy of the report, along with the expert’s name, and the date of the inspection.</w:t>
      </w:r>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3439BB"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bookmarkStart w:id="13" w:name="_Hlk41032600"/>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85D10E6" w14:textId="77777777" w:rsidR="003F0E15" w:rsidRDefault="00827681"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B6D7D52"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lastRenderedPageBreak/>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EB8B815"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665499D0" w14:textId="1F7AEC3A"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r>
        <w:rPr>
          <w:rFonts w:cs="Times New Roman"/>
          <w:bCs/>
          <w:szCs w:val="24"/>
        </w:rPr>
        <w:t>Section 9.6</w:t>
      </w:r>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A389785"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B77870A" w14:textId="38196E7B"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22E817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BB17FC">
        <w:t>Assault</w:t>
      </w:r>
    </w:p>
    <w:p w14:paraId="616D7FB4" w14:textId="77777777" w:rsidR="003F0E15" w:rsidRDefault="00D06E1B" w:rsidP="00D06E1B">
      <w:pPr>
        <w:spacing w:after="264"/>
        <w:rPr>
          <w:rFonts w:cs="Times New Roman"/>
          <w:bCs/>
          <w:szCs w:val="24"/>
        </w:rPr>
      </w:pPr>
      <w:r w:rsidRPr="00CB10A8">
        <w:rPr>
          <w:rFonts w:cs="Times New Roman"/>
          <w:bCs/>
          <w:szCs w:val="24"/>
          <w:u w:val="single"/>
        </w:rPr>
        <w:t>Elements</w:t>
      </w:r>
      <w:r>
        <w:rPr>
          <w:rFonts w:cs="Times New Roman"/>
          <w:bCs/>
          <w:szCs w:val="24"/>
        </w:rPr>
        <w:t>—</w:t>
      </w:r>
      <w:r w:rsidR="00BB17FC">
        <w:rPr>
          <w:rFonts w:cs="Times New Roman"/>
          <w:bCs/>
          <w:szCs w:val="24"/>
        </w:rPr>
        <w:t>Assault</w:t>
      </w:r>
      <w:r>
        <w:rPr>
          <w:rFonts w:cs="Times New Roman"/>
          <w:bCs/>
          <w:szCs w:val="24"/>
        </w:rPr>
        <w:t>.</w:t>
      </w:r>
    </w:p>
    <w:p w14:paraId="7933603F" w14:textId="77777777" w:rsidR="003F0E15" w:rsidRDefault="00D06E1B" w:rsidP="00311139">
      <w:pPr>
        <w:spacing w:after="264"/>
        <w:ind w:left="1080" w:hanging="360"/>
        <w:rPr>
          <w:rFonts w:cs="Times New Roman"/>
          <w:bCs/>
          <w:szCs w:val="24"/>
        </w:rPr>
      </w:pPr>
      <w:r>
        <w:rPr>
          <w:rFonts w:cs="Times New Roman"/>
          <w:bCs/>
          <w:szCs w:val="24"/>
        </w:rPr>
        <w:t xml:space="preserve">—  </w:t>
      </w:r>
      <w:r w:rsidR="005B2A9E" w:rsidRPr="005B2A9E">
        <w:rPr>
          <w:rFonts w:cs="Times New Roman"/>
          <w:bCs/>
          <w:szCs w:val="24"/>
        </w:rPr>
        <w:t>The elements of a cause of action for assault are: (</w:t>
      </w:r>
      <w:r w:rsidR="005B2A9E">
        <w:rPr>
          <w:rFonts w:cs="Times New Roman"/>
          <w:bCs/>
          <w:szCs w:val="24"/>
        </w:rPr>
        <w:t>i</w:t>
      </w:r>
      <w:r w:rsidR="005B2A9E" w:rsidRPr="005B2A9E">
        <w:rPr>
          <w:rFonts w:cs="Times New Roman"/>
          <w:bCs/>
          <w:szCs w:val="24"/>
        </w:rPr>
        <w:t xml:space="preserve">) the defendant acted with </w:t>
      </w:r>
      <w:r w:rsidR="005B2A9E" w:rsidRPr="00D379AE">
        <w:rPr>
          <w:rFonts w:cs="Times New Roman"/>
          <w:bCs/>
          <w:i/>
          <w:iCs/>
          <w:szCs w:val="24"/>
        </w:rPr>
        <w:t>intent</w:t>
      </w:r>
      <w:r w:rsidR="005B2A9E" w:rsidRPr="005B2A9E">
        <w:rPr>
          <w:rFonts w:cs="Times New Roman"/>
          <w:bCs/>
          <w:szCs w:val="24"/>
        </w:rPr>
        <w:t xml:space="preserve"> to cause harmful or offensive contact, or </w:t>
      </w:r>
      <w:r w:rsidR="005B2A9E" w:rsidRPr="00D379AE">
        <w:rPr>
          <w:rFonts w:cs="Times New Roman"/>
          <w:bCs/>
          <w:i/>
          <w:iCs/>
          <w:szCs w:val="24"/>
        </w:rPr>
        <w:t>threatened</w:t>
      </w:r>
      <w:r w:rsidR="005B2A9E" w:rsidRPr="005B2A9E">
        <w:rPr>
          <w:rFonts w:cs="Times New Roman"/>
          <w:bCs/>
          <w:szCs w:val="24"/>
        </w:rPr>
        <w:t xml:space="preserve"> to touch the plaintiff in a harmful or offensive manner; (</w:t>
      </w:r>
      <w:r w:rsidR="005B2A9E">
        <w:rPr>
          <w:rFonts w:cs="Times New Roman"/>
          <w:bCs/>
          <w:szCs w:val="24"/>
        </w:rPr>
        <w:t>ii</w:t>
      </w:r>
      <w:r w:rsidR="005B2A9E" w:rsidRPr="005B2A9E">
        <w:rPr>
          <w:rFonts w:cs="Times New Roman"/>
          <w:bCs/>
          <w:szCs w:val="24"/>
        </w:rPr>
        <w:t xml:space="preserve">) the plaintiff reasonably believed </w:t>
      </w:r>
      <w:r w:rsidR="005B2A9E">
        <w:rPr>
          <w:rFonts w:cs="Times New Roman"/>
          <w:bCs/>
          <w:szCs w:val="24"/>
        </w:rPr>
        <w:t>that he or she was about to be touched in a ha</w:t>
      </w:r>
      <w:r w:rsidR="005B2A9E" w:rsidRPr="005B2A9E">
        <w:rPr>
          <w:rFonts w:cs="Times New Roman"/>
          <w:bCs/>
          <w:szCs w:val="24"/>
        </w:rPr>
        <w:t>rmful or offensive manner</w:t>
      </w:r>
      <w:r w:rsidR="005B2A9E">
        <w:rPr>
          <w:rFonts w:cs="Times New Roman"/>
          <w:bCs/>
          <w:szCs w:val="24"/>
        </w:rPr>
        <w:t xml:space="preserve"> (or even that the plaintiff reasonably believed that the defendant was about to carry out a threat); (iii) </w:t>
      </w:r>
      <w:r w:rsidR="005B2A9E" w:rsidRPr="005B2A9E">
        <w:rPr>
          <w:rFonts w:cs="Times New Roman"/>
          <w:bCs/>
          <w:szCs w:val="24"/>
        </w:rPr>
        <w:t xml:space="preserve">the plaintiff did not </w:t>
      </w:r>
      <w:r w:rsidR="00D379AE">
        <w:rPr>
          <w:rFonts w:cs="Times New Roman"/>
          <w:bCs/>
          <w:szCs w:val="24"/>
        </w:rPr>
        <w:t>consent to the defendant’s conduct</w:t>
      </w:r>
      <w:r w:rsidR="005B2A9E">
        <w:rPr>
          <w:rFonts w:cs="Times New Roman"/>
          <w:bCs/>
          <w:szCs w:val="24"/>
        </w:rPr>
        <w:t xml:space="preserve">; (iv) the plaintiff </w:t>
      </w:r>
      <w:r w:rsidR="005B2A9E" w:rsidRPr="005B2A9E">
        <w:rPr>
          <w:rFonts w:cs="Times New Roman"/>
          <w:bCs/>
          <w:szCs w:val="24"/>
        </w:rPr>
        <w:t>was harmed</w:t>
      </w:r>
      <w:r w:rsidR="005B2A9E">
        <w:rPr>
          <w:rFonts w:cs="Times New Roman"/>
          <w:bCs/>
          <w:szCs w:val="24"/>
        </w:rPr>
        <w:t xml:space="preserve"> by the </w:t>
      </w:r>
      <w:r w:rsidR="00D379AE">
        <w:rPr>
          <w:rFonts w:cs="Times New Roman"/>
          <w:bCs/>
          <w:szCs w:val="24"/>
        </w:rPr>
        <w:t>conduct (e.g., the threatened contact)</w:t>
      </w:r>
      <w:r w:rsidR="005B2A9E" w:rsidRPr="005B2A9E">
        <w:rPr>
          <w:rFonts w:cs="Times New Roman"/>
          <w:bCs/>
          <w:szCs w:val="24"/>
        </w:rPr>
        <w:t>; and (</w:t>
      </w:r>
      <w:r w:rsidR="005B2A9E">
        <w:rPr>
          <w:rFonts w:cs="Times New Roman"/>
          <w:bCs/>
          <w:szCs w:val="24"/>
        </w:rPr>
        <w:t>v</w:t>
      </w:r>
      <w:r w:rsidR="005B2A9E" w:rsidRPr="005B2A9E">
        <w:rPr>
          <w:rFonts w:cs="Times New Roman"/>
          <w:bCs/>
          <w:szCs w:val="24"/>
        </w:rPr>
        <w:t xml:space="preserve">) </w:t>
      </w:r>
      <w:r w:rsidR="005B2A9E">
        <w:rPr>
          <w:rFonts w:cs="Times New Roman"/>
          <w:bCs/>
          <w:szCs w:val="24"/>
        </w:rPr>
        <w:t>that the</w:t>
      </w:r>
      <w:r w:rsidR="005B2A9E" w:rsidRPr="005B2A9E">
        <w:rPr>
          <w:rFonts w:cs="Times New Roman"/>
          <w:bCs/>
          <w:szCs w:val="24"/>
        </w:rPr>
        <w:t xml:space="preserve"> defendant’s conduct was a substantial factor in causing the plaintiff’s harm.” (</w:t>
      </w:r>
      <w:r w:rsidR="005B2A9E" w:rsidRPr="005B2A9E">
        <w:rPr>
          <w:rFonts w:cs="Times New Roman"/>
          <w:bCs/>
          <w:i/>
          <w:iCs/>
          <w:szCs w:val="24"/>
        </w:rPr>
        <w:t xml:space="preserve">Carlsen v. </w:t>
      </w:r>
      <w:proofErr w:type="spellStart"/>
      <w:r w:rsidR="005B2A9E" w:rsidRPr="005B2A9E">
        <w:rPr>
          <w:rFonts w:cs="Times New Roman"/>
          <w:bCs/>
          <w:i/>
          <w:iCs/>
          <w:szCs w:val="24"/>
        </w:rPr>
        <w:t>Koivumaki</w:t>
      </w:r>
      <w:proofErr w:type="spellEnd"/>
      <w:r w:rsidR="005B2A9E" w:rsidRPr="005B2A9E">
        <w:rPr>
          <w:rFonts w:cs="Times New Roman"/>
          <w:bCs/>
          <w:szCs w:val="24"/>
        </w:rPr>
        <w:t xml:space="preserve"> (2014) 227 Cal.App.4th 879, 890.)</w:t>
      </w:r>
      <w:r w:rsidR="00311139" w:rsidRPr="005902E5">
        <w:rPr>
          <w:rFonts w:cs="Times New Roman"/>
          <w:bCs/>
          <w:szCs w:val="24"/>
        </w:rPr>
        <w:t xml:space="preserve"> </w:t>
      </w:r>
    </w:p>
    <w:p w14:paraId="7FE5BDA5" w14:textId="77777777" w:rsidR="003F0E15" w:rsidRDefault="00311139" w:rsidP="00311139">
      <w:pPr>
        <w:spacing w:after="264"/>
        <w:rPr>
          <w:rFonts w:cs="Times New Roman"/>
          <w:bCs/>
          <w:szCs w:val="24"/>
        </w:rPr>
      </w:pPr>
      <w:r>
        <w:rPr>
          <w:rFonts w:cs="Times New Roman"/>
          <w:bCs/>
          <w:szCs w:val="24"/>
          <w:u w:val="single"/>
        </w:rPr>
        <w:t>Remedies</w:t>
      </w:r>
      <w:r>
        <w:rPr>
          <w:rFonts w:cs="Times New Roman"/>
          <w:bCs/>
          <w:szCs w:val="24"/>
        </w:rPr>
        <w:t>—</w:t>
      </w:r>
    </w:p>
    <w:p w14:paraId="1D0DEB9A" w14:textId="77777777" w:rsidR="003F0E15" w:rsidRDefault="00311139" w:rsidP="00311139">
      <w:pPr>
        <w:spacing w:after="264"/>
        <w:ind w:left="1080" w:hanging="360"/>
        <w:rPr>
          <w:rFonts w:cs="Times New Roman"/>
          <w:bCs/>
          <w:szCs w:val="24"/>
        </w:rPr>
      </w:pPr>
      <w:r w:rsidRPr="00311139">
        <w:rPr>
          <w:rFonts w:cs="Times New Roman"/>
          <w:bCs/>
          <w:szCs w:val="24"/>
        </w:rPr>
        <w:lastRenderedPageBreak/>
        <w:t xml:space="preserve">—  </w:t>
      </w:r>
      <w:r w:rsidR="00D14496" w:rsidRPr="00D14496">
        <w:rPr>
          <w:rFonts w:cs="Times New Roman"/>
          <w:bCs/>
          <w:szCs w:val="24"/>
        </w:rPr>
        <w:t xml:space="preserve">Compensatory </w:t>
      </w:r>
      <w:r w:rsidR="00D14496">
        <w:rPr>
          <w:rFonts w:cs="Times New Roman"/>
          <w:bCs/>
          <w:szCs w:val="24"/>
        </w:rPr>
        <w:t xml:space="preserve">(money) </w:t>
      </w:r>
      <w:r w:rsidR="00D14496" w:rsidRPr="00D14496">
        <w:rPr>
          <w:rFonts w:cs="Times New Roman"/>
          <w:bCs/>
          <w:szCs w:val="24"/>
        </w:rPr>
        <w:t>damages are available for harm proximately caused by the assault. (Civ. Code, §§ 3281-3288, 3333.)</w:t>
      </w:r>
    </w:p>
    <w:p w14:paraId="32F5E4B1" w14:textId="77777777" w:rsidR="003F0E15" w:rsidRDefault="00D14496" w:rsidP="00311139">
      <w:pPr>
        <w:spacing w:after="264"/>
        <w:ind w:left="1080" w:hanging="360"/>
        <w:rPr>
          <w:rFonts w:cs="Times New Roman"/>
          <w:bCs/>
          <w:szCs w:val="24"/>
        </w:rPr>
      </w:pPr>
      <w:r>
        <w:rPr>
          <w:rFonts w:cs="Times New Roman"/>
          <w:bCs/>
          <w:szCs w:val="24"/>
        </w:rPr>
        <w:t xml:space="preserve">—  </w:t>
      </w:r>
      <w:r w:rsidRPr="00D14496">
        <w:rPr>
          <w:rFonts w:cs="Times New Roman"/>
          <w:bCs/>
          <w:szCs w:val="24"/>
        </w:rPr>
        <w:t xml:space="preserve">Emotional distress damages are </w:t>
      </w:r>
      <w:r>
        <w:rPr>
          <w:rFonts w:cs="Times New Roman"/>
          <w:bCs/>
          <w:szCs w:val="24"/>
        </w:rPr>
        <w:t xml:space="preserve">also </w:t>
      </w:r>
      <w:r w:rsidRPr="00D14496">
        <w:rPr>
          <w:rFonts w:cs="Times New Roman"/>
          <w:bCs/>
          <w:szCs w:val="24"/>
        </w:rPr>
        <w:t>available in assault cases. (</w:t>
      </w:r>
      <w:r w:rsidRPr="00D14496">
        <w:rPr>
          <w:rFonts w:cs="Times New Roman"/>
          <w:bCs/>
          <w:i/>
          <w:iCs/>
          <w:szCs w:val="24"/>
        </w:rPr>
        <w:t xml:space="preserve">Thing v. La </w:t>
      </w:r>
      <w:proofErr w:type="spellStart"/>
      <w:r w:rsidRPr="00D14496">
        <w:rPr>
          <w:rFonts w:cs="Times New Roman"/>
          <w:bCs/>
          <w:i/>
          <w:iCs/>
          <w:szCs w:val="24"/>
        </w:rPr>
        <w:t>Chusa</w:t>
      </w:r>
      <w:proofErr w:type="spellEnd"/>
      <w:r w:rsidRPr="00D14496">
        <w:rPr>
          <w:rFonts w:cs="Times New Roman"/>
          <w:bCs/>
          <w:szCs w:val="24"/>
        </w:rPr>
        <w:t xml:space="preserve"> (1989) 48 Cal.3d 644, 649.)</w:t>
      </w:r>
    </w:p>
    <w:p w14:paraId="76271BBA" w14:textId="77777777" w:rsidR="003F0E15" w:rsidRDefault="00D14496" w:rsidP="00311139">
      <w:pPr>
        <w:spacing w:after="264"/>
        <w:ind w:left="1080" w:hanging="360"/>
        <w:rPr>
          <w:rFonts w:cs="Times New Roman"/>
          <w:bCs/>
          <w:szCs w:val="24"/>
        </w:rPr>
      </w:pPr>
      <w:r>
        <w:rPr>
          <w:rFonts w:cs="Times New Roman"/>
          <w:bCs/>
          <w:szCs w:val="24"/>
        </w:rPr>
        <w:t xml:space="preserve">—  If plaintiff can prove, upon </w:t>
      </w:r>
      <w:r w:rsidRPr="00D14496">
        <w:rPr>
          <w:rFonts w:cs="Times New Roman"/>
          <w:bCs/>
          <w:szCs w:val="24"/>
        </w:rPr>
        <w:t>clear and convincing evidence</w:t>
      </w:r>
      <w:r>
        <w:rPr>
          <w:rFonts w:cs="Times New Roman"/>
          <w:bCs/>
          <w:szCs w:val="24"/>
        </w:rPr>
        <w:t xml:space="preserve">, that defendant acted with </w:t>
      </w:r>
      <w:r w:rsidRPr="00D14496">
        <w:rPr>
          <w:rFonts w:cs="Times New Roman"/>
          <w:bCs/>
          <w:szCs w:val="24"/>
        </w:rPr>
        <w:t>oppression, fraud, or malice</w:t>
      </w:r>
      <w:r>
        <w:rPr>
          <w:rFonts w:cs="Times New Roman"/>
          <w:bCs/>
          <w:szCs w:val="24"/>
        </w:rPr>
        <w:t>, then punitive damages are also available</w:t>
      </w:r>
      <w:r w:rsidRPr="00D14496">
        <w:rPr>
          <w:rFonts w:cs="Times New Roman"/>
          <w:bCs/>
          <w:szCs w:val="24"/>
        </w:rPr>
        <w:t>. (Civ. Code, § 3294.)</w:t>
      </w:r>
    </w:p>
    <w:p w14:paraId="4F317CBF"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D5D8F8" w14:textId="77777777" w:rsidR="003F0E15" w:rsidRDefault="005902E5" w:rsidP="005902E5">
      <w:pPr>
        <w:spacing w:after="264"/>
        <w:ind w:left="1080" w:hanging="360"/>
        <w:rPr>
          <w:rFonts w:cs="Times New Roman"/>
          <w:bCs/>
          <w:szCs w:val="24"/>
        </w:rPr>
      </w:pPr>
      <w:r>
        <w:rPr>
          <w:rFonts w:cs="Times New Roman"/>
          <w:bCs/>
          <w:szCs w:val="24"/>
        </w:rPr>
        <w:t xml:space="preserve">—  </w:t>
      </w:r>
      <w:r w:rsidR="00AC4DAB" w:rsidRPr="009D5F25">
        <w:rPr>
          <w:rFonts w:cs="Times New Roman"/>
          <w:color w:val="000000" w:themeColor="text1"/>
          <w:szCs w:val="24"/>
        </w:rPr>
        <w:t xml:space="preserve">The statute of limitations for </w:t>
      </w:r>
      <w:r w:rsidR="009F5026">
        <w:rPr>
          <w:rFonts w:cs="Times New Roman"/>
          <w:color w:val="000000" w:themeColor="text1"/>
          <w:szCs w:val="24"/>
        </w:rPr>
        <w:t>assault</w:t>
      </w:r>
      <w:r w:rsidR="00AC4DAB">
        <w:rPr>
          <w:rFonts w:cs="Times New Roman"/>
          <w:color w:val="000000" w:themeColor="text1"/>
          <w:szCs w:val="24"/>
        </w:rPr>
        <w:t xml:space="preserve"> arising out of anything</w:t>
      </w:r>
      <w:r w:rsidR="00AC4DAB" w:rsidRPr="009D5F25">
        <w:rPr>
          <w:rFonts w:cs="Times New Roman"/>
          <w:color w:val="000000" w:themeColor="text1"/>
          <w:szCs w:val="24"/>
        </w:rPr>
        <w:t xml:space="preserve"> </w:t>
      </w:r>
      <w:r w:rsidR="00AC4DAB" w:rsidRPr="009D5F25">
        <w:rPr>
          <w:rFonts w:cs="Times New Roman"/>
          <w:i/>
          <w:iCs/>
          <w:color w:val="000000" w:themeColor="text1"/>
          <w:szCs w:val="24"/>
        </w:rPr>
        <w:t>other than</w:t>
      </w:r>
      <w:r w:rsidR="00AC4DAB" w:rsidRPr="009D5F25">
        <w:rPr>
          <w:rFonts w:cs="Times New Roman"/>
          <w:color w:val="000000" w:themeColor="text1"/>
          <w:szCs w:val="24"/>
        </w:rPr>
        <w:t xml:space="preserve"> domestic violence</w:t>
      </w:r>
      <w:r w:rsidR="00AC4DAB">
        <w:rPr>
          <w:rFonts w:cs="Times New Roman"/>
          <w:color w:val="000000" w:themeColor="text1"/>
          <w:szCs w:val="24"/>
        </w:rPr>
        <w:t xml:space="preserve"> </w:t>
      </w:r>
      <w:r w:rsidR="00AC4DAB" w:rsidRPr="009D5F25">
        <w:rPr>
          <w:rFonts w:cs="Times New Roman"/>
          <w:color w:val="000000" w:themeColor="text1"/>
          <w:szCs w:val="24"/>
        </w:rPr>
        <w:t xml:space="preserve">is two years. (Code Civ. Proc., </w:t>
      </w:r>
      <w:r w:rsidR="00AC4DAB">
        <w:rPr>
          <w:rFonts w:cs="Times New Roman"/>
          <w:color w:val="000000" w:themeColor="text1"/>
          <w:szCs w:val="24"/>
        </w:rPr>
        <w:t xml:space="preserve">§ </w:t>
      </w:r>
      <w:r w:rsidR="00AC4DAB" w:rsidRPr="009D5F25">
        <w:rPr>
          <w:rFonts w:cs="Times New Roman"/>
          <w:color w:val="000000" w:themeColor="text1"/>
          <w:szCs w:val="24"/>
        </w:rPr>
        <w:t xml:space="preserve">335.1; </w:t>
      </w:r>
      <w:r w:rsidR="00AC4DAB" w:rsidRPr="009D5F25">
        <w:rPr>
          <w:rFonts w:cs="Times New Roman"/>
          <w:i/>
          <w:iCs/>
          <w:color w:val="000000" w:themeColor="text1"/>
          <w:szCs w:val="24"/>
        </w:rPr>
        <w:t>Pugliese v. Superior Court</w:t>
      </w:r>
      <w:r w:rsidR="00AC4DAB">
        <w:rPr>
          <w:rFonts w:cs="Times New Roman"/>
          <w:i/>
          <w:iCs/>
          <w:color w:val="000000" w:themeColor="text1"/>
          <w:szCs w:val="24"/>
        </w:rPr>
        <w:t xml:space="preserve"> </w:t>
      </w:r>
      <w:r w:rsidR="00AC4DAB" w:rsidRPr="009D5F25">
        <w:rPr>
          <w:rFonts w:cs="Times New Roman"/>
          <w:color w:val="000000" w:themeColor="text1"/>
          <w:szCs w:val="24"/>
        </w:rPr>
        <w:t>(2007) 146 Cal.App.4th 1444</w:t>
      </w:r>
      <w:r w:rsidR="00AC4DAB">
        <w:rPr>
          <w:rFonts w:cs="Times New Roman"/>
          <w:color w:val="000000" w:themeColor="text1"/>
          <w:szCs w:val="24"/>
        </w:rPr>
        <w:t xml:space="preserve">, </w:t>
      </w:r>
      <w:r w:rsidR="00AC4DAB" w:rsidRPr="009D5F25">
        <w:rPr>
          <w:rFonts w:cs="Times New Roman"/>
          <w:color w:val="000000" w:themeColor="text1"/>
          <w:szCs w:val="24"/>
        </w:rPr>
        <w:t>1450.)</w:t>
      </w:r>
      <w:r w:rsidR="00845AF4" w:rsidRPr="009D5F25">
        <w:rPr>
          <w:rFonts w:cs="Times New Roman"/>
          <w:color w:val="000000" w:themeColor="text1"/>
          <w:szCs w:val="24"/>
        </w:rPr>
        <w:t xml:space="preserve"> The </w:t>
      </w:r>
      <w:r w:rsidR="00845AF4">
        <w:rPr>
          <w:rFonts w:cs="Times New Roman"/>
          <w:color w:val="000000" w:themeColor="text1"/>
          <w:szCs w:val="24"/>
        </w:rPr>
        <w:t xml:space="preserve">statute starts running from the time plaintiff anticipated the harm. </w:t>
      </w:r>
      <w:r w:rsidR="00845AF4" w:rsidRPr="009D5F25">
        <w:rPr>
          <w:rFonts w:cs="Times New Roman"/>
          <w:color w:val="000000" w:themeColor="text1"/>
          <w:szCs w:val="24"/>
        </w:rPr>
        <w:t>(</w:t>
      </w:r>
      <w:r w:rsidR="00426749" w:rsidRPr="00426749">
        <w:rPr>
          <w:rFonts w:cs="Times New Roman"/>
          <w:i/>
          <w:iCs/>
          <w:color w:val="000000" w:themeColor="text1"/>
          <w:szCs w:val="24"/>
        </w:rPr>
        <w:t>Id</w:t>
      </w:r>
      <w:r w:rsidR="00845AF4" w:rsidRPr="009D5F25">
        <w:rPr>
          <w:rFonts w:cs="Times New Roman"/>
          <w:color w:val="000000" w:themeColor="text1"/>
          <w:szCs w:val="24"/>
        </w:rPr>
        <w:t>.)</w:t>
      </w:r>
    </w:p>
    <w:p w14:paraId="227EFFB5"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E7BDD33"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assault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77DE444"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C59557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097A9DCB"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BD0DB2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45988DC" w14:textId="06743DA4"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lastRenderedPageBreak/>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C38CE2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384F495" w14:textId="4A493D3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Section 9.11</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2C6E26E9" w14:textId="6E7C77D1" w:rsidR="005708BA" w:rsidRDefault="005708BA" w:rsidP="005708BA">
      <w:pPr>
        <w:pStyle w:val="Heading2"/>
        <w:spacing w:after="264"/>
      </w:pPr>
      <w:r w:rsidRPr="00274E8F">
        <w:fldChar w:fldCharType="begin"/>
      </w:r>
      <w:r w:rsidRPr="00274E8F">
        <w:instrText xml:space="preserve"> LISTNUM LegalDefault \l 2 </w:instrText>
      </w:r>
      <w:r w:rsidRPr="00274E8F">
        <w:fldChar w:fldCharType="end"/>
      </w:r>
      <w:r>
        <w:br/>
      </w:r>
      <w:r>
        <w:t>Statute of Limitations</w:t>
      </w:r>
    </w:p>
    <w:p w14:paraId="5AB5BB99" w14:textId="5F779BC9" w:rsidR="005708BA" w:rsidRPr="003A4D9E" w:rsidRDefault="005708BA" w:rsidP="005708BA">
      <w:pPr>
        <w:spacing w:after="264"/>
      </w:pPr>
      <w:r>
        <w:t xml:space="preserve">This section is </w:t>
      </w:r>
      <w:r>
        <w:rPr>
          <w:i/>
          <w:iCs/>
        </w:rPr>
        <w:t>not</w:t>
      </w:r>
      <w:r>
        <w:t xml:space="preserve"> intended to address whether or not the statute of limitations has run on a particular cause of action that might have otherwise been relevant under the facts. Those specifics can be found in reference to each of the potential causes of action discussed above. This section of the </w:t>
      </w:r>
      <w:r>
        <w:t>Preliminary Analysis</w:t>
      </w:r>
      <w:r>
        <w:t xml:space="preserve"> is intended only to highlight the earliest statute of limitations of a </w:t>
      </w:r>
      <w:r>
        <w:t>potential cause of action t</w:t>
      </w:r>
      <w:r>
        <w:t>hat remains available to Client.</w:t>
      </w:r>
    </w:p>
    <w:p w14:paraId="21354F8F" w14:textId="08EAB3BA" w:rsidR="005708BA" w:rsidRPr="00DC78A7" w:rsidRDefault="005708BA" w:rsidP="005708BA">
      <w:pPr>
        <w:pStyle w:val="NormalEnd"/>
        <w:spacing w:after="264"/>
      </w:pPr>
      <w:r>
        <w:t xml:space="preserve">If Client wants to file a lawsuit containing the applicable the causes of action discussed above, the action must be filed on or before </w:t>
      </w:r>
      <w:r>
        <w:rPr>
          <w:rFonts w:cs="Times New Roman"/>
          <w:b/>
          <w:bCs/>
          <w:color w:val="C00000"/>
          <w:szCs w:val="24"/>
          <w:u w:val="single"/>
        </w:rPr>
        <w:t/>
      </w:r>
      <w:r>
        <w:t xml:space="preserve"> (the </w:t>
      </w:r>
      <w:r>
        <w:rPr>
          <w:i/>
          <w:iCs/>
        </w:rPr>
        <w:t>earliest</w:t>
      </w:r>
      <w:r>
        <w:t xml:space="preserve"> of the applicable non-expired statutes of limitations deadlines given the desired causes of action).</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3A127D92" w:rsidR="003F0E15" w:rsidRDefault="00ED6677" w:rsidP="0059538A">
      <w:pPr>
        <w:pStyle w:val="Heading1"/>
        <w:spacing w:after="264"/>
      </w:pPr>
      <w:r w:rsidRPr="00274E8F">
        <w:fldChar w:fldCharType="begin"/>
      </w:r>
      <w:r w:rsidR="005708BA">
        <w:instrText xml:space="preserve"> LISTNUM LegalDefault \l 1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3439BB"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lastRenderedPageBreak/>
        <w:t>________________________________</w:t>
      </w:r>
    </w:p>
    <w:p w14:paraId="49594AFB" w14:textId="1F85E84D" w:rsidR="00D71613" w:rsidRDefault="00D71613" w:rsidP="00D71613">
      <w:pPr>
        <w:pStyle w:val="Heading1"/>
        <w:spacing w:after="264"/>
      </w:pPr>
      <w:r w:rsidRPr="00274E8F">
        <w:fldChar w:fldCharType="begin"/>
      </w:r>
      <w:r w:rsidR="005708BA">
        <w:instrText xml:space="preserve"> LISTNUM LegalDefault \l 1 </w:instrText>
      </w:r>
      <w:r w:rsidRPr="00274E8F">
        <w:fldChar w:fldCharType="end"/>
      </w:r>
      <w:r>
        <w:b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ACE63C0"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don’t </w:t>
      </w:r>
      <w:r w:rsidR="00186916">
        <w:rPr>
          <w:rFonts w:cs="Times New Roman"/>
          <w:bCs/>
          <w:szCs w:val="24"/>
        </w:rPr>
        <w:t>necessarily make</w:t>
      </w:r>
      <w:r>
        <w:rPr>
          <w:rFonts w:cs="Times New Roman"/>
          <w:bCs/>
          <w:szCs w:val="24"/>
        </w:rPr>
        <w:t xml:space="preserve"> good litigation cases. </w:t>
      </w:r>
      <w:r w:rsidR="00186916">
        <w:rPr>
          <w:rFonts w:cs="Times New Roman"/>
          <w:bCs/>
          <w:szCs w:val="24"/>
        </w:rPr>
        <w:t xml:space="preserve">Not only are we often very successful at negotiating settlements during the ADR process notwithstanding the fact that our legal contentions might not be as strong as we may have indicated, but we’re often able to negotiate concessions during the ADR process that wouldn’t be available as remedies in litigation.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75A9" w14:textId="77777777" w:rsidR="003439BB" w:rsidRDefault="003439BB" w:rsidP="00123934">
      <w:pPr>
        <w:spacing w:after="264"/>
      </w:pPr>
      <w:r>
        <w:separator/>
      </w:r>
    </w:p>
  </w:endnote>
  <w:endnote w:type="continuationSeparator" w:id="0">
    <w:p w14:paraId="0D94A3F0" w14:textId="77777777" w:rsidR="003439BB" w:rsidRDefault="003439BB"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3439BB" w:rsidP="00BA614F">
          <w:pPr>
            <w:pStyle w:val="Footer"/>
            <w:spacing w:after="264"/>
            <w:jc w:val="right"/>
            <w:rPr>
              <w:rFonts w:cs="Times New Roman"/>
              <w:sz w:val="18"/>
              <w:szCs w:val="18"/>
            </w:rPr>
          </w:pPr>
          <w:r>
            <w:rPr>
              <w:rFonts w:cs="Times New Roman"/>
              <w:sz w:val="18"/>
              <w:szCs w:val="18"/>
            </w:rPr>
            <w:t>DeRosier v. Palm Crest Homeowners Association, Inc.</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A6BE5" w14:textId="77777777" w:rsidR="003439BB" w:rsidRDefault="003439BB" w:rsidP="00123934">
      <w:pPr>
        <w:spacing w:after="264"/>
      </w:pPr>
      <w:r>
        <w:separator/>
      </w:r>
    </w:p>
  </w:footnote>
  <w:footnote w:type="continuationSeparator" w:id="0">
    <w:p w14:paraId="5C391383" w14:textId="77777777" w:rsidR="003439BB" w:rsidRDefault="003439BB"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6916"/>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2B3C"/>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9BB"/>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08BA"/>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555"/>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81B"/>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A7016"/>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6DF5"/>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5D37"/>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B5525"/>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2D7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
      <w:docPartPr>
        <w:name w:val="C01C59B49245473B8A4B8616E4FCA54B"/>
        <w:category>
          <w:name w:val="General"/>
          <w:gallery w:val="placeholder"/>
        </w:category>
        <w:types>
          <w:type w:val="bbPlcHdr"/>
        </w:types>
        <w:behaviors>
          <w:behavior w:val="content"/>
        </w:behaviors>
        <w:guid w:val="{A5322F0D-1C37-47AC-A574-188F20BAF543}"/>
      </w:docPartPr>
      <w:docPartBody>
        <w:p w:rsidR="006C2DEB" w:rsidRDefault="00262A90" w:rsidP="00262A90">
          <w:pPr>
            <w:pStyle w:val="C01C59B49245473B8A4B8616E4FCA54B"/>
          </w:pPr>
          <w:r w:rsidRPr="00404A3B">
            <w:rPr>
              <w:rStyle w:val="PlaceholderText"/>
            </w:rPr>
            <w:t>Click or tap here to enter text.</w:t>
          </w:r>
        </w:p>
      </w:docPartBody>
    </w:docPart>
    <w:docPart>
      <w:docPartPr>
        <w:name w:val="20DB76ACF53E4240B898D98589176096"/>
        <w:category>
          <w:name w:val="General"/>
          <w:gallery w:val="placeholder"/>
        </w:category>
        <w:types>
          <w:type w:val="bbPlcHdr"/>
        </w:types>
        <w:behaviors>
          <w:behavior w:val="content"/>
        </w:behaviors>
        <w:guid w:val="{D74878CC-4CE6-4618-9A21-34FCF909162F}"/>
      </w:docPartPr>
      <w:docPartBody>
        <w:p w:rsidR="006C2DEB" w:rsidRDefault="00262A90" w:rsidP="00262A90">
          <w:pPr>
            <w:pStyle w:val="20DB76ACF53E4240B898D98589176096"/>
          </w:pPr>
          <w:r w:rsidRPr="00F722FF">
            <w:rPr>
              <w:rStyle w:val="PlaceholderText"/>
            </w:rPr>
            <w:t>Click or tap here to enter text.</w:t>
          </w:r>
        </w:p>
      </w:docPartBody>
    </w:docPart>
    <w:docPart>
      <w:docPartPr>
        <w:name w:val="55D8A824A8324D2EAD88529CDC0A24BF"/>
        <w:category>
          <w:name w:val="General"/>
          <w:gallery w:val="placeholder"/>
        </w:category>
        <w:types>
          <w:type w:val="bbPlcHdr"/>
        </w:types>
        <w:behaviors>
          <w:behavior w:val="content"/>
        </w:behaviors>
        <w:guid w:val="{C086C238-7FE0-4A6D-BDAB-E30E1171841D}"/>
      </w:docPartPr>
      <w:docPartBody>
        <w:p w:rsidR="006C2DEB" w:rsidRDefault="00262A90" w:rsidP="00262A90">
          <w:pPr>
            <w:pStyle w:val="55D8A824A8324D2EAD88529CDC0A24BF"/>
          </w:pPr>
          <w:r w:rsidRPr="000D4732">
            <w:rPr>
              <w:rStyle w:val="PlaceholderText"/>
            </w:rPr>
            <w:t>Click or tap here to enter text.</w:t>
          </w:r>
        </w:p>
      </w:docPartBody>
    </w:docPart>
    <w:docPart>
      <w:docPartPr>
        <w:name w:val="A9D7298D756E4C88A23062268F8C8406"/>
        <w:category>
          <w:name w:val="General"/>
          <w:gallery w:val="placeholder"/>
        </w:category>
        <w:types>
          <w:type w:val="bbPlcHdr"/>
        </w:types>
        <w:behaviors>
          <w:behavior w:val="content"/>
        </w:behaviors>
        <w:guid w:val="{34A79B50-8801-45E3-9517-1E7BACB54683}"/>
      </w:docPartPr>
      <w:docPartBody>
        <w:p w:rsidR="006C2DEB" w:rsidRDefault="00262A90" w:rsidP="00262A90">
          <w:pPr>
            <w:pStyle w:val="A9D7298D756E4C88A23062268F8C8406"/>
          </w:pPr>
          <w:r w:rsidRPr="00404A3B">
            <w:rPr>
              <w:rStyle w:val="PlaceholderText"/>
            </w:rPr>
            <w:t>Click or tap here to enter text.</w:t>
          </w:r>
        </w:p>
      </w:docPartBody>
    </w:docPart>
    <w:docPart>
      <w:docPartPr>
        <w:name w:val="15D05B430BCF4B689AB3ECF41EAD28AB"/>
        <w:category>
          <w:name w:val="General"/>
          <w:gallery w:val="placeholder"/>
        </w:category>
        <w:types>
          <w:type w:val="bbPlcHdr"/>
        </w:types>
        <w:behaviors>
          <w:behavior w:val="content"/>
        </w:behaviors>
        <w:guid w:val="{87DBC465-1DE8-4AFD-806C-1D43AD411FF7}"/>
      </w:docPartPr>
      <w:docPartBody>
        <w:p w:rsidR="006C2DEB" w:rsidRDefault="00262A90" w:rsidP="00262A90">
          <w:pPr>
            <w:pStyle w:val="15D05B430BCF4B689AB3ECF41EAD28AB"/>
          </w:pPr>
          <w:r w:rsidRPr="000D4732">
            <w:rPr>
              <w:rStyle w:val="PlaceholderText"/>
            </w:rPr>
            <w:t>Click or tap here to enter text.</w:t>
          </w:r>
        </w:p>
      </w:docPartBody>
    </w:docPart>
    <w:docPart>
      <w:docPartPr>
        <w:name w:val="24D04BFDEA5648C1B2D863FD10BD6E8A"/>
        <w:category>
          <w:name w:val="General"/>
          <w:gallery w:val="placeholder"/>
        </w:category>
        <w:types>
          <w:type w:val="bbPlcHdr"/>
        </w:types>
        <w:behaviors>
          <w:behavior w:val="content"/>
        </w:behaviors>
        <w:guid w:val="{69EDACFD-91EB-44B9-A8E6-32511C347AD3}"/>
      </w:docPartPr>
      <w:docPartBody>
        <w:p w:rsidR="006C2DEB" w:rsidRDefault="00262A90" w:rsidP="00262A90">
          <w:pPr>
            <w:pStyle w:val="24D04BFDEA5648C1B2D863FD10BD6E8A"/>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62A90"/>
    <w:rsid w:val="002A027D"/>
    <w:rsid w:val="002B68EA"/>
    <w:rsid w:val="002E6CDC"/>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2DEB"/>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86DF5"/>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B1FFE"/>
    <w:rsid w:val="00BE5D01"/>
    <w:rsid w:val="00BF4E23"/>
    <w:rsid w:val="00BF5D37"/>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A90"/>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 w:type="paragraph" w:customStyle="1" w:styleId="C01C59B49245473B8A4B8616E4FCA54B">
    <w:name w:val="C01C59B49245473B8A4B8616E4FCA54B"/>
    <w:rsid w:val="00262A90"/>
    <w:pPr>
      <w:spacing w:line="278" w:lineRule="auto"/>
    </w:pPr>
    <w:rPr>
      <w:kern w:val="2"/>
      <w:sz w:val="24"/>
      <w:szCs w:val="24"/>
      <w14:ligatures w14:val="standardContextual"/>
    </w:rPr>
  </w:style>
  <w:style w:type="paragraph" w:customStyle="1" w:styleId="3707CB6FF4CC4784947B567BCC00477C">
    <w:name w:val="3707CB6FF4CC4784947B567BCC00477C"/>
    <w:rsid w:val="00262A90"/>
    <w:pPr>
      <w:spacing w:line="278" w:lineRule="auto"/>
    </w:pPr>
    <w:rPr>
      <w:kern w:val="2"/>
      <w:sz w:val="24"/>
      <w:szCs w:val="24"/>
      <w14:ligatures w14:val="standardContextual"/>
    </w:rPr>
  </w:style>
  <w:style w:type="paragraph" w:customStyle="1" w:styleId="20DB76ACF53E4240B898D98589176096">
    <w:name w:val="20DB76ACF53E4240B898D98589176096"/>
    <w:rsid w:val="00262A90"/>
    <w:pPr>
      <w:spacing w:line="278" w:lineRule="auto"/>
    </w:pPr>
    <w:rPr>
      <w:kern w:val="2"/>
      <w:sz w:val="24"/>
      <w:szCs w:val="24"/>
      <w14:ligatures w14:val="standardContextual"/>
    </w:rPr>
  </w:style>
  <w:style w:type="paragraph" w:customStyle="1" w:styleId="55D8A824A8324D2EAD88529CDC0A24BF">
    <w:name w:val="55D8A824A8324D2EAD88529CDC0A24BF"/>
    <w:rsid w:val="00262A90"/>
    <w:pPr>
      <w:spacing w:line="278" w:lineRule="auto"/>
    </w:pPr>
    <w:rPr>
      <w:kern w:val="2"/>
      <w:sz w:val="24"/>
      <w:szCs w:val="24"/>
      <w14:ligatures w14:val="standardContextual"/>
    </w:rPr>
  </w:style>
  <w:style w:type="paragraph" w:customStyle="1" w:styleId="A9D7298D756E4C88A23062268F8C8406">
    <w:name w:val="A9D7298D756E4C88A23062268F8C8406"/>
    <w:rsid w:val="00262A90"/>
    <w:pPr>
      <w:spacing w:line="278" w:lineRule="auto"/>
    </w:pPr>
    <w:rPr>
      <w:kern w:val="2"/>
      <w:sz w:val="24"/>
      <w:szCs w:val="24"/>
      <w14:ligatures w14:val="standardContextual"/>
    </w:rPr>
  </w:style>
  <w:style w:type="paragraph" w:customStyle="1" w:styleId="15D05B430BCF4B689AB3ECF41EAD28AB">
    <w:name w:val="15D05B430BCF4B689AB3ECF41EAD28AB"/>
    <w:rsid w:val="00262A90"/>
    <w:pPr>
      <w:spacing w:line="278" w:lineRule="auto"/>
    </w:pPr>
    <w:rPr>
      <w:kern w:val="2"/>
      <w:sz w:val="24"/>
      <w:szCs w:val="24"/>
      <w14:ligatures w14:val="standardContextual"/>
    </w:rPr>
  </w:style>
  <w:style w:type="paragraph" w:customStyle="1" w:styleId="24D04BFDEA5648C1B2D863FD10BD6E8A">
    <w:name w:val="24D04BFDEA5648C1B2D863FD10BD6E8A"/>
    <w:rsid w:val="00262A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115</Pages>
  <Words>31201</Words>
  <Characters>174107</Characters>
  <Application>Microsoft Office Word</Application>
  <DocSecurity>0</DocSecurity>
  <Lines>3224</Lines>
  <Paragraphs>1669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216</cp:revision>
  <cp:lastPrinted>2020-05-21T21:26:00Z</cp:lastPrinted>
  <dcterms:created xsi:type="dcterms:W3CDTF">2020-06-05T16:34:00Z</dcterms:created>
  <dcterms:modified xsi:type="dcterms:W3CDTF">2026-10-19T17:08:00Z</dcterms:modified>
</cp:coreProperties>
</file>