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October 12,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Liza Lafreniere</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Denny Lafreniere</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315 W. Avenida Valencia</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San Clemente, CA 92672</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4,800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2,400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Liza Lafreniere</w:t>
      </w:r>
      <w:r w:rsidR="008F1FC0">
        <w:rPr>
          <w:rFonts w:ascii="Cormorant Garamond" w:hAnsi="Cormorant Garamond"/>
          <w:sz w:val="20"/>
          <w:szCs w:val="20"/>
        </w:rPr>
        <w:t xml:space="preserve"> and </w:t>
      </w:r>
      <w:r>
        <w:rPr>
          <w:rFonts w:ascii="Cormorant Garamond" w:hAnsi="Cormorant Garamond"/>
          <w:sz w:val="20"/>
          <w:szCs w:val="20"/>
        </w:rPr>
        <w:t>Denny Lafreniere</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315 W. Avenida Valencia</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San Clemente, CA 92672</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uscliza@gmail.com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949-280-7892</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October 12,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LIZA LAFRENIERE</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DENNY LAFRENIERE</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