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Yeandle v. Sun Ridge Ranch</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SS</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D4451E" w:rsidP="0054507B">
            <w:pPr>
              <w:spacing w:afterLines="0" w:after="0"/>
              <w:rPr>
                <w:rFonts w:cs="Times New Roman"/>
                <w:sz w:val="20"/>
                <w:szCs w:val="20"/>
              </w:rPr>
            </w:pPr>
            <w:r>
              <w:rPr>
                <w:rFonts w:cs="Times New Roman"/>
                <w:sz w:val="20"/>
                <w:szCs w:val="20"/>
              </w:rPr>
              <w:t>Garrison Yeandle</w:t>
            </w:r>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Yeandle v. Sun Ridge Ranch</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