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Robins v. Poopy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TT</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Blah blah blah.</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r>
              <w:rPr>
                <w:rFonts w:cs="Times New Roman"/>
                <w:sz w:val="20"/>
                <w:szCs w:val="20"/>
              </w:rPr>
              <w:t>Jimothy Robbins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r>
              <w:rPr>
                <w:rFonts w:cs="Times New Roman"/>
                <w:sz w:val="20"/>
                <w:szCs w:val="20"/>
              </w:rPr>
              <w:t>Poopy HOA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Do we have a deed of trust for the other property?</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If the deed exists, we need a copy of the unrecorded deed.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III, Section 3.16</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IX, Section 9.4</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Robins v. Poopy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