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Twilley v. West End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EMS</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Client submitted an ARC application to make modifications to her backyard. Then a member of the ARC quit and after Client’s ARC application was approved, another ARC member was fired. The new Board sent Client a $5,000 bill related to failing to attend the Board meeting regarding the compliance of her fence. However, Client was not notified about the meeting. The HOA is now requiring her to remove the fence within 60 days.</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D4451E" w:rsidP="0054507B">
            <w:pPr>
              <w:spacing w:afterLines="0" w:after="0"/>
              <w:rPr>
                <w:rFonts w:cs="Times New Roman"/>
                <w:sz w:val="20"/>
                <w:szCs w:val="20"/>
              </w:rPr>
            </w:pPr>
            <w:r>
              <w:rPr>
                <w:rFonts w:cs="Times New Roman"/>
                <w:sz w:val="20"/>
                <w:szCs w:val="20"/>
              </w:rPr>
              <w:t>Jennifer Twilley</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D4451E" w:rsidP="0054507B">
            <w:pPr>
              <w:spacing w:afterLines="0" w:after="0"/>
              <w:rPr>
                <w:rFonts w:cs="Times New Roman"/>
                <w:sz w:val="20"/>
                <w:szCs w:val="20"/>
              </w:rPr>
            </w:pPr>
            <w:r>
              <w:rPr>
                <w:rFonts w:cs="Times New Roman"/>
                <w:sz w:val="20"/>
                <w:szCs w:val="20"/>
              </w:rPr>
              <w:t>West End Phase One Homeowners Association, Inc.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D4451E"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None at this time.</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None at this time.</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Article V, Section 5.8</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r>
        <w:t>Violation of the Fair Debt Collection Practices Act</w:t>
      </w:r>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r>
        <w:rPr>
          <w:rFonts w:cs="Times New Roman"/>
          <w:szCs w:val="24"/>
        </w:rPr>
        <w:t>Violation of the Fair Debt Collection Practices Act</w:t>
      </w:r>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i/>
          <w:iCs/>
          <w:szCs w:val="24"/>
          <w:highlight w:val="green"/>
        </w:rPr>
        <w:t>violation of the fair debt collection practices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r>
        <w:rPr>
          <w:rFonts w:cs="Times New Roman"/>
          <w:bCs/>
          <w:szCs w:val="24"/>
        </w:rPr>
        <w:t>Article XIII, Section 13.2.1</w:t>
      </w:r>
      <w:r w:rsidR="00915938"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Twilley v. West End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