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6C1630" w:rsidP="00FD77B5">
      <w:pPr>
        <w:spacing w:afterLines="0" w:after="0"/>
        <w:jc w:val="center"/>
        <w:rPr>
          <w:rFonts w:cs="Times New Roman"/>
          <w:color w:val="000099"/>
          <w:sz w:val="52"/>
          <w:szCs w:val="52"/>
        </w:rPr>
      </w:pPr>
      <w:r>
        <w:rPr>
          <w:rFonts w:cs="Times New Roman"/>
          <w:color w:val="000099"/>
          <w:sz w:val="52"/>
          <w:szCs w:val="52"/>
        </w:rPr>
        <w:t>Gebregziabher v. Briarwood HOA</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6C1630" w:rsidP="00D66223">
      <w:pPr>
        <w:spacing w:afterLines="0" w:after="0"/>
        <w:jc w:val="center"/>
        <w:rPr>
          <w:rFonts w:cs="Times New Roman"/>
          <w:bCs/>
          <w:color w:val="000099"/>
          <w:sz w:val="28"/>
          <w:szCs w:val="28"/>
        </w:rPr>
      </w:pPr>
      <w:r>
        <w:rPr>
          <w:rFonts w:cs="Times New Roman"/>
          <w:bCs/>
          <w:color w:val="000099"/>
          <w:sz w:val="28"/>
          <w:szCs w:val="28"/>
        </w:rPr>
        <w:t>JG</w:t>
      </w:r>
    </w:p>
    <w:p w14:paraId="56F0E1E5" w14:textId="489F4252"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F54B5">
        <w:rPr>
          <w:rFonts w:cs="Times New Roman"/>
          <w:bCs/>
          <w:noProof/>
          <w:color w:val="000099"/>
          <w:sz w:val="26"/>
          <w:szCs w:val="26"/>
        </w:rPr>
        <w:t>October 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6C1630">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6C1630">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6C1630">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6C1630">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6C1630">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6C1630">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6C1630">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6C1630">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6C1630">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6C1630">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6C1630">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6C1630">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6C1630">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6C1630">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6C1630">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6C1630">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6C1630">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6C1630">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6C1630">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6C1630">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6C1630">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6C1630">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6C1630">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6C1630">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6C1630">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6C1630">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6C1630">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6C1630">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6C1630">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6C1630">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6C1630">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6C1630">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6C1630">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6C1630">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6C1630">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6C1630">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6C1630">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6C1630">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6C1630">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6C1630">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6C1630">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6C1630">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6C1630">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6C1630">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6C1630">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6C1630">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6C1630">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6C1630">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6C1630">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6C1630">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6C1630">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6C1630">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6C1630">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6C1630">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6C1630">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6C1630">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6C1630">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6C1630">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6C1630">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6C1630">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6C1630">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6C1630">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6C1630">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6C1630">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6C1630">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6C1630">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6C1630">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6C1630">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6C1630">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6C1630">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6C1630">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6C1630">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6C1630">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6C1630">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6C1630">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6C1630">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6C1630">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6C1630">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6C1630">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6C1630">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6C1630">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6C1630">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6C1630">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6C1630">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6C1630">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6C1630">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6C1630">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6C1630">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6C1630">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6C1630">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6C1630">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6C1630">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6C1630">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6C1630">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6C1630">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6C1630">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6C1630">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6C1630">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6C1630">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6C1630">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6C1630">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6C1630">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6C1630">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6C1630">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6C1630">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6C1630">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6C1630">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6C1630">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6C1630">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6C1630">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6C1630">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6C1630">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6C1630">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6C1630">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6C1630">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6C1630">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6C1630">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6C1630">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6C1630">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6C1630" w:rsidP="00FB173A">
      <w:pPr>
        <w:pStyle w:val="NormalEnd"/>
      </w:pPr>
      <w:r>
        <w:t>Client is the owner of the real property located at 3500 W. Manchester Boulevard, Unit 173, Inglewood, CA 90305 (the “Property”), within the HOA. Client has had a termite infestation at the Property which the HOA refuses to remedy. Additionally, Client requested that the HOA provide him with copies of its association records (including without limitation, financial records and tax returns) on multiple occasions to no avail. Client wants that the HOA remedy the termite infestation at the Property and provide him with association records that he is entitled to.</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6C1630" w:rsidP="00246DB4">
            <w:pPr>
              <w:spacing w:afterLines="0" w:after="0"/>
              <w:rPr>
                <w:rFonts w:ascii="Times New Roman" w:hAnsi="Times New Roman" w:cs="Times New Roman"/>
                <w:sz w:val="20"/>
                <w:szCs w:val="20"/>
              </w:rPr>
            </w:pPr>
            <w:r>
              <w:rPr>
                <w:rFonts w:cs="Times New Roman"/>
                <w:sz w:val="20"/>
                <w:szCs w:val="20"/>
              </w:rPr>
              <w:t>Noah Gebregziabher</w:t>
            </w:r>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Briarwood Homeowners Association No. One, Inc. ("HOA")</w:t>
            </w:r>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HOA</w:t>
            </w:r>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True Community Association Management, Inc. ("True Community")/Jessica Pineda ("Pineda")</w:t>
            </w:r>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Property Manager</w:t>
            </w:r>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Anita Morris (“Morris”)</w:t>
            </w:r>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HOA President</w:t>
            </w:r>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Eideh Manavi, Esq. (“Manavi”)</w:t>
            </w:r>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Client’s Former Attorney</w:t>
            </w:r>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Onyemachi Oko Chukwu (“Ms. Chukwu”)</w:t>
            </w:r>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HOA Owner – Unit 177</w:t>
            </w:r>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TBD</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C8A33F" w14:textId="3E9BEF90" w:rsidR="00370492" w:rsidRDefault="00370492" w:rsidP="001257C8">
      <w:pPr>
        <w:pStyle w:val="Line"/>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TBD</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bookmarkStart w:id="25" w:name="_Hlk131406768"/>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bookmarkStart w:id="32" w:name="_Hlk41032600"/>
    <w:bookmarkStart w:id="33" w:name="_Hlk130368841"/>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5" w:name="_Toc130368720"/>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71" w:name="_Toc130368730"/>
      <w:r w:rsidRPr="00020852">
        <w:fldChar w:fldCharType="end"/>
      </w:r>
      <w:r w:rsidR="000B75CA">
        <w:br/>
      </w:r>
      <w:r w:rsidRPr="00020852">
        <w:t>Failure to Permit Inspection of Records</w:t>
      </w:r>
      <w:bookmarkEnd w:id="71"/>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72" w:name="_Hlk57621136"/>
      <w:r w:rsidRPr="00020852">
        <w:rPr>
          <w:rFonts w:cs="Times New Roman"/>
          <w:bCs/>
          <w:szCs w:val="24"/>
        </w:rPr>
        <w:t>A claim for failing to allow the records to be inspected must be brought within three years. (Code Civ. Proc., § 338(a).)</w:t>
      </w:r>
      <w:bookmarkEnd w:id="72"/>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41"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5" w:name="_Toc130368800"/>
      <w:r w:rsidRPr="00020852">
        <w:fldChar w:fldCharType="end"/>
      </w:r>
      <w:r w:rsidR="002970B7">
        <w:br/>
      </w:r>
      <w:r w:rsidR="00B77716" w:rsidRPr="00020852">
        <w:t>STRATEGIC CONSIDERATIONS</w:t>
      </w:r>
      <w:bookmarkEnd w:id="185"/>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6" w:name="_Toc53565571"/>
      <w:bookmarkStart w:id="187" w:name="_Toc130368801"/>
      <w:r w:rsidRPr="002F7882">
        <w:rPr>
          <w:color w:val="C00000"/>
        </w:rPr>
        <w:fldChar w:fldCharType="end"/>
      </w:r>
      <w:r w:rsidRPr="002F7882">
        <w:rPr>
          <w:color w:val="C00000"/>
        </w:rPr>
        <w:br/>
        <w:t>Statute of Limitations</w:t>
      </w:r>
      <w:bookmarkEnd w:id="186"/>
      <w:bookmarkEnd w:id="187"/>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TBD</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8" w:name="_Toc130368802"/>
      <w:r w:rsidRPr="00020852">
        <w:fldChar w:fldCharType="end"/>
      </w:r>
      <w:r w:rsidR="002970B7">
        <w:br/>
      </w:r>
      <w:r w:rsidRPr="00020852">
        <w:t>Applicability of Davis-Stirling Act</w:t>
      </w:r>
      <w:bookmarkEnd w:id="188"/>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9" w:name="_Toc130368803"/>
      <w:r w:rsidRPr="00020852">
        <w:fldChar w:fldCharType="end"/>
      </w:r>
      <w:r w:rsidR="002970B7">
        <w:br/>
      </w:r>
      <w:r w:rsidR="00184ADF" w:rsidRPr="00020852">
        <w:t>Jurisdiction</w:t>
      </w:r>
      <w:bookmarkEnd w:id="189"/>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0" w:name="_Toc130368804"/>
      <w:r w:rsidRPr="00020852">
        <w:fldChar w:fldCharType="end"/>
      </w:r>
      <w:r w:rsidR="002970B7">
        <w:br/>
      </w:r>
      <w:r w:rsidR="00C53B37" w:rsidRPr="00020852">
        <w:t>Arbitration</w:t>
      </w:r>
      <w:bookmarkEnd w:id="190"/>
    </w:p>
    <w:bookmarkStart w:id="191" w:name="_Hlk53658305"/>
    <w:p w14:paraId="306FC814" w14:textId="354137E4" w:rsidR="00745226" w:rsidRDefault="00C53B37" w:rsidP="00C53B37">
      <w:pPr>
        <w:spacing w:after="264"/>
        <w:rPr>
          <w:rFonts w:cs="Times New Roman"/>
          <w:bCs/>
          <w:szCs w:val="24"/>
        </w:rPr>
      </w:pPr>
      <w:bookmarkStart w:id="194" w:name="_Hlk41900374"/>
      <w:bookmarkStart w:id="195" w:name="_Hlk41900647"/>
      <w:r w:rsidRPr="00020852">
        <w:rPr>
          <w:rFonts w:cs="Times New Roman"/>
          <w:bCs/>
          <w:szCs w:val="24"/>
        </w:rPr>
        <w:t xml:space="preserve">Since there is no binding arbitration provision in the CC&amp;Rs, any litigation related to the dispute must take place in </w:t>
      </w:r>
      <w:bookmarkEnd w:id="194"/>
      <w:r w:rsidR="00702005" w:rsidRPr="00020852">
        <w:rPr>
          <w:rFonts w:cs="Times New Roman"/>
          <w:bCs/>
          <w:szCs w:val="24"/>
        </w:rPr>
        <w:t xml:space="preserve">the superior court of </w:t>
      </w:r>
      <w:r>
        <w:rPr>
          <w:rFonts w:cs="Times New Roman"/>
          <w:szCs w:val="24"/>
        </w:rPr>
        <w:t>Los Angeles</w:t>
      </w:r>
      <w:r w:rsidR="00702005" w:rsidRPr="00020852">
        <w:rPr>
          <w:rFonts w:cs="Times New Roman"/>
          <w:bCs/>
          <w:szCs w:val="24"/>
        </w:rPr>
        <w:t xml:space="preserve"> County because that is where Client’s property is located.</w:t>
      </w:r>
      <w:bookmarkEnd w:id="195"/>
      <w:r w:rsidRPr="00020852">
        <w:rPr>
          <w:rFonts w:cs="Times New Roman"/>
          <w:bCs/>
          <w:szCs w:val="24"/>
        </w:rPr>
        <w:t xml:space="preserve"> </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6" w:name="_Toc130368805"/>
      <w:r w:rsidRPr="00020852">
        <w:fldChar w:fldCharType="end"/>
      </w:r>
      <w:r w:rsidR="002970B7">
        <w:br/>
      </w:r>
      <w:bookmarkEnd w:id="196"/>
      <w:r w:rsidR="007A188C">
        <w:t>Venue</w:t>
      </w:r>
    </w:p>
    <w:p w14:paraId="45A35712" w14:textId="2B957B35" w:rsidR="00702005" w:rsidRPr="00020852" w:rsidRDefault="001A6D43" w:rsidP="00702005">
      <w:pPr>
        <w:spacing w:after="264"/>
        <w:rPr>
          <w:rFonts w:cs="Times New Roman"/>
          <w:szCs w:val="24"/>
        </w:rPr>
      </w:pPr>
      <w:r w:rsidRPr="00020852">
        <w:rPr>
          <w:rFonts w:cs="Times New Roman"/>
        </w:rPr>
        <w:lastRenderedPageBreak/>
        <w:t xml:space="preserve">Because the issues related to the current dispute involve Client’s property, which is located in </w:t>
      </w:r>
      <w:r>
        <w:rPr>
          <w:rFonts w:cs="Times New Roman"/>
          <w:szCs w:val="24"/>
        </w:rPr>
        <w:t>Los Angeles</w:t>
      </w:r>
      <w:r w:rsidRPr="00020852">
        <w:rPr>
          <w:rFonts w:cs="Times New Roman"/>
        </w:rPr>
        <w:t xml:space="preserve"> County, </w:t>
      </w:r>
      <w:r w:rsidR="001F0D6C">
        <w:rPr>
          <w:rFonts w:cs="Times New Roman"/>
        </w:rPr>
        <w:t xml:space="preserve">that is the appropriate venue for this case. </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8" w:name="_Toc130368807"/>
      <w:r w:rsidRPr="00020852">
        <w:fldChar w:fldCharType="end"/>
      </w:r>
      <w:r>
        <w:br/>
        <w:t>Standing</w:t>
      </w:r>
      <w:bookmarkEnd w:id="198"/>
    </w:p>
    <w:bookmarkStart w:id="199" w:name="_Hlk43282553"/>
    <w:bookmarkStart w:id="200"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01" w:name="_Hlk43278950"/>
    <w:p w14:paraId="6671144C" w14:textId="77777777" w:rsidR="00745226" w:rsidRDefault="00D44EB8" w:rsidP="00EA2883">
      <w:pPr>
        <w:pStyle w:val="Heading2"/>
      </w:pPr>
      <w:r w:rsidRPr="00020852">
        <w:fldChar w:fldCharType="begin"/>
      </w:r>
      <w:r w:rsidRPr="00020852">
        <w:instrText xml:space="preserve"> LISTNUM LegalDefault \l 2 </w:instrText>
      </w:r>
      <w:bookmarkStart w:id="202" w:name="_Toc130368808"/>
      <w:r w:rsidRPr="00020852">
        <w:fldChar w:fldCharType="end"/>
      </w:r>
      <w:r w:rsidR="002970B7">
        <w:br/>
      </w:r>
      <w:r w:rsidRPr="00020852">
        <w:t>Anti-SLAPP Analysis</w:t>
      </w:r>
      <w:bookmarkEnd w:id="202"/>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7" w:name="_Toc130368809"/>
      <w:r w:rsidRPr="00020852">
        <w:fldChar w:fldCharType="end"/>
      </w:r>
      <w:r>
        <w:br/>
      </w:r>
      <w:r w:rsidRPr="00020852">
        <w:t>Pre-Filing Requirements</w:t>
      </w:r>
      <w:bookmarkEnd w:id="217"/>
      <w:r w:rsidR="00E24072">
        <w:br/>
        <w:t>(e.g., Notice or Mediation Requirements)</w:t>
      </w:r>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bookmarkStart w:id="218"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1" w:name="_Toc130368810"/>
      <w:r w:rsidRPr="00020852">
        <w:fldChar w:fldCharType="end"/>
      </w:r>
      <w:r>
        <w:br/>
      </w:r>
      <w:r w:rsidRPr="00020852">
        <w:t>Attorneys’ Fees and Costs</w:t>
      </w:r>
      <w:bookmarkEnd w:id="221"/>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r>
        <w:t>Article XIV, Section 2</w:t>
      </w:r>
      <w:r w:rsidR="00A35502" w:rsidRPr="00020852">
        <w:t xml:space="preserve"> of the CC&amp;Rs.</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4"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5"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5"/>
    </w:p>
    <w:p w14:paraId="0E7FD39D" w14:textId="5CB84CD9" w:rsidR="0057244F" w:rsidRDefault="006C1630" w:rsidP="00ED253D">
      <w:pPr>
        <w:spacing w:after="264"/>
      </w:pPr>
      <w:r>
        <w:t>None at this time.</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4"/>
    </w:p>
    <w:p w14:paraId="5828B9B5" w14:textId="61325DEF" w:rsidR="00187D06" w:rsidRDefault="002A00E7" w:rsidP="001257C8">
      <w:pPr>
        <w:pStyle w:val="Line"/>
      </w:pPr>
      <w:bookmarkStart w:id="226" w:name="_Hlk43439444"/>
      <w:r w:rsidRPr="005C5314">
        <w:t>________________________________</w:t>
      </w:r>
      <w:bookmarkEnd w:id="226"/>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AA4F" w14:textId="77777777" w:rsidR="00A04216" w:rsidRDefault="00A04216" w:rsidP="007B1C23">
      <w:pPr>
        <w:spacing w:after="264"/>
      </w:pPr>
      <w:r>
        <w:separator/>
      </w:r>
    </w:p>
    <w:p w14:paraId="1604697A" w14:textId="77777777" w:rsidR="00A04216" w:rsidRDefault="00A04216">
      <w:pPr>
        <w:spacing w:after="264"/>
      </w:pPr>
    </w:p>
  </w:endnote>
  <w:endnote w:type="continuationSeparator" w:id="0">
    <w:p w14:paraId="6F905074" w14:textId="77777777" w:rsidR="00A04216" w:rsidRDefault="00A04216" w:rsidP="007B1C23">
      <w:pPr>
        <w:spacing w:after="264"/>
      </w:pPr>
      <w:r>
        <w:continuationSeparator/>
      </w:r>
    </w:p>
    <w:p w14:paraId="0E6B5FC4" w14:textId="77777777" w:rsidR="00A04216" w:rsidRDefault="00A04216">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6C1630"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Gebregziabher v. Briarwood HOA</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E2DF" w14:textId="77777777" w:rsidR="00A04216" w:rsidRDefault="00A04216" w:rsidP="007B1C23">
      <w:pPr>
        <w:spacing w:after="264"/>
      </w:pPr>
      <w:r>
        <w:separator/>
      </w:r>
    </w:p>
    <w:p w14:paraId="1F747CE6" w14:textId="77777777" w:rsidR="00A04216" w:rsidRDefault="00A04216">
      <w:pPr>
        <w:spacing w:after="264"/>
      </w:pPr>
    </w:p>
  </w:footnote>
  <w:footnote w:type="continuationSeparator" w:id="0">
    <w:p w14:paraId="352BD632" w14:textId="77777777" w:rsidR="00A04216" w:rsidRDefault="00A04216" w:rsidP="007B1C23">
      <w:pPr>
        <w:spacing w:after="264"/>
      </w:pPr>
      <w:r>
        <w:continuationSeparator/>
      </w:r>
    </w:p>
    <w:p w14:paraId="6DC5072A" w14:textId="77777777" w:rsidR="00A04216" w:rsidRDefault="00A04216">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2843</TotalTime>
  <Pages>189</Pages>
  <Words>56086</Words>
  <Characters>319695</Characters>
  <Application>Microsoft Office Word</Application>
  <DocSecurity>0</DocSecurity>
  <Lines>2664</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447</cp:revision>
  <cp:lastPrinted>2019-02-13T22:26:00Z</cp:lastPrinted>
  <dcterms:created xsi:type="dcterms:W3CDTF">2020-06-05T18:10:00Z</dcterms:created>
  <dcterms:modified xsi:type="dcterms:W3CDTF">2023-10-02T17:00:00Z</dcterms:modified>
</cp:coreProperties>
</file>