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0C1C37" w:rsidP="007728DA">
      <w:pPr>
        <w:pStyle w:val="Title"/>
        <w:spacing w:after="264"/>
        <w:rPr>
          <w:color w:val="000099"/>
        </w:rPr>
      </w:pPr>
      <w:r w:rsidR="00647C36" w:rsidRPr="00893638">
        <w:rPr>
          <w:color w:val="000099"/>
        </w:rPr>
        <w:t>BYLAWS</w:t>
      </w:r>
      <w:r w:rsidR="007728DA" w:rsidRPr="00893638">
        <w:rPr>
          <w:color w:val="000099"/>
        </w:rPr>
        <w:br/>
        <w:t>OF</w:t>
      </w:r>
      <w:r w:rsidR="007728DA" w:rsidRPr="00893638">
        <w:rPr>
          <w:color w:val="000099"/>
        </w:rPr>
        <w:br/>
      </w:r>
      <w:r>
        <w:rPr>
          <w:color w:val="000099"/>
        </w:rPr>
        <w:t>ACME CONSULTING, LLC</w:t>
      </w:r>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r>
        <w:t>Acme Consulting, LLC</w:t>
      </w:r>
      <w:r w:rsidR="00104F55" w:rsidRPr="00893638">
        <w:t xml:space="preserve"> (</w:t>
      </w:r>
      <w:r w:rsidR="00881CD8" w:rsidRPr="00893638">
        <w:t>“</w:t>
      </w:r>
      <w:r>
        <w:t>ACL</w:t>
      </w:r>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r w:rsidRPr="00893638">
        <w:t xml:space="preserve"> </w:t>
      </w:r>
      <w:r w:rsidR="00FB5E9A" w:rsidRPr="00893638">
        <w:t>bylaws (“Bylaws”)</w:t>
      </w:r>
      <w:r w:rsidRPr="00893638">
        <w:t xml:space="preserve"> as of </w:t>
      </w:r>
      <w:r>
        <w:t>May 12, 2023</w:t>
      </w:r>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B871F4D" w14:textId="5E776619" w:rsidR="006512F1" w:rsidRPr="00893638" w:rsidRDefault="000C1C37" w:rsidP="006512F1">
      <w:pPr>
        <w:pStyle w:val="NormalEnd"/>
        <w:spacing w:after="264"/>
      </w:pPr>
      <w:r>
        <w:t>ACL’s</w:t>
      </w:r>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r>
        <w:t>ACL</w:t>
      </w:r>
      <w:r w:rsidR="006512F1" w:rsidRPr="00893638">
        <w:t xml:space="preserve"> is authorized to conduct business, whether in California or not.</w:t>
      </w:r>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629AFAE" w14:textId="1DD62ED6" w:rsidR="00853A98" w:rsidRPr="00893638" w:rsidRDefault="00853A98" w:rsidP="00853A98">
      <w:pPr>
        <w:spacing w:after="264"/>
      </w:pPr>
      <w:r w:rsidRPr="00893638">
        <w:t xml:space="preserve">If </w:t>
      </w:r>
      <w:r>
        <w:t>ACL</w:t>
      </w:r>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r>
        <w:t>ACL</w:t>
      </w:r>
      <w:r w:rsidRPr="00893638">
        <w:t xml:space="preserve"> to reimburse the shareholder(s) who brought the petition </w:t>
      </w:r>
      <w:r w:rsidR="00B63056">
        <w:t xml:space="preserve">for </w:t>
      </w:r>
      <w:r w:rsidRPr="00893638">
        <w:t>his/her/their reasonable attorneys’ fees and costs if the court grants the petition.</w:t>
      </w:r>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r>
        <w:t>ACL</w:t>
      </w:r>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r>
        <w:t>ACL’s</w:t>
      </w:r>
      <w:r w:rsidRPr="00893638">
        <w:t xml:space="preserve"> shareholders unanimously consent in writing to forgo holding the meeting at a physical location, and instead all agree to meet remotely/electronically, </w:t>
      </w:r>
      <w:r>
        <w:t>ACL</w:t>
      </w:r>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r>
        <w:t>ACL</w:t>
      </w:r>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r>
        <w:t>ACL’s</w:t>
      </w:r>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r>
        <w:t>ACL’s</w:t>
      </w:r>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bookmarkStart w:id="6" w:name="_Hlk37160118"/>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r>
        <w:t>ACL</w:t>
      </w:r>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r>
        <w:t>ACL’s</w:t>
      </w:r>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r>
        <w:t>ACL</w:t>
      </w:r>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r>
        <w:t>ACL</w:t>
      </w:r>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p>
    <w:p w14:paraId="73A1BC67" w14:textId="6BBEE9CF" w:rsidR="0088079B" w:rsidRPr="00893638" w:rsidRDefault="0088079B" w:rsidP="0088079B">
      <w:pPr>
        <w:spacing w:after="264"/>
      </w:pPr>
      <w:r w:rsidRPr="00893638">
        <w:lastRenderedPageBreak/>
        <w:t xml:space="preserve">A written agreement between two or more shareholders of </w:t>
      </w:r>
      <w:r>
        <w:t>ACL</w:t>
      </w:r>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r>
        <w:t>ACL’s</w:t>
      </w:r>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0C1C37" w:rsidP="00FF0C1F">
      <w:pPr>
        <w:pStyle w:val="NormalEnd"/>
        <w:spacing w:after="264"/>
      </w:pPr>
      <w:r>
        <w:t>ACL’s</w:t>
      </w:r>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bookmarkStart w:id="14" w:name="_Hlk38108527"/>
    <w:p w14:paraId="1219BC46" w14:textId="56832B5A" w:rsidR="00A9225D" w:rsidRPr="00A9225D" w:rsidRDefault="00A9225D" w:rsidP="00A9225D">
      <w:pPr>
        <w:spacing w:after="264"/>
        <w:rPr>
          <w:rFonts w:eastAsia="Calibri"/>
        </w:rPr>
      </w:pPr>
      <w:bookmarkStart w:id="18" w:name="_Hlk38102678"/>
      <w:r w:rsidRPr="00A9225D">
        <w:rPr>
          <w:rFonts w:eastAsia="Calibri"/>
        </w:rPr>
        <w:t xml:space="preserve">At all times, </w:t>
      </w:r>
      <w:r>
        <w:rPr>
          <w:rFonts w:eastAsia="Calibri"/>
        </w:rPr>
        <w:t>ACL</w:t>
      </w:r>
      <w:r w:rsidRPr="00A9225D">
        <w:rPr>
          <w:rFonts w:eastAsia="Calibri"/>
        </w:rPr>
        <w:t xml:space="preserve"> shall have between </w:t>
      </w:r>
      <w:r>
        <w:rPr>
          <w:rFonts w:eastAsia="Calibri"/>
        </w:rPr>
        <w:t>three</w:t>
      </w:r>
      <w:r w:rsidRPr="00A9225D">
        <w:rPr>
          <w:rFonts w:eastAsia="Calibri"/>
        </w:rPr>
        <w:t xml:space="preserve"> and </w:t>
      </w:r>
      <w:r>
        <w:rPr>
          <w:rFonts w:eastAsia="Calibri"/>
        </w:rPr>
        <w:t>five</w:t>
      </w:r>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bookmarkEnd w:id="18"/>
    </w:p>
    <w:p w14:paraId="00589663" w14:textId="77777777" w:rsidR="00A9225D" w:rsidRPr="00A9225D" w:rsidRDefault="00A9225D" w:rsidP="00A9225D">
      <w:pPr>
        <w:spacing w:after="264"/>
        <w:rPr>
          <w:rFonts w:eastAsia="Calibri"/>
        </w:rPr>
      </w:pPr>
      <w:r w:rsidRPr="00A9225D">
        <w:rPr>
          <w:rFonts w:eastAsia="Calibri"/>
        </w:rPr>
        <w:lastRenderedPageBreak/>
        <w:t>The directors, whether elected or otherwise selected to fill a vacancy, shall remain in office until their terms expire and their successors have been elected and qualified. Of course, if any of the same directors are reelected, they shall continue to serve.</w:t>
      </w:r>
    </w:p>
    <w:p w14:paraId="0ACAA579" w14:textId="2DEACD4D" w:rsidR="009658F1" w:rsidRPr="006C2053"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r>
        <w:rPr>
          <w:rFonts w:eastAsia="Calibri"/>
        </w:rPr>
        <w:t>ACL’s</w:t>
      </w:r>
      <w:r w:rsidRPr="00A9225D">
        <w:rPr>
          <w:rFonts w:eastAsia="Calibri"/>
        </w:rPr>
        <w:t xml:space="preserve"> Board ever consists of five or more directors, </w:t>
      </w:r>
      <w:r w:rsidR="006C2053" w:rsidRPr="006C2053">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r>
        <w:rPr>
          <w:rFonts w:eastAsia="Calibri"/>
        </w:rPr>
        <w:t>ACL</w:t>
      </w:r>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r>
        <w:rPr>
          <w:rFonts w:eastAsia="Calibri"/>
        </w:rPr>
        <w:t>ACL</w:t>
      </w:r>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bookmarkStart w:id="22" w:name="_Hlk37594785"/>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r>
        <w:rPr>
          <w:rFonts w:eastAsia="Calibri"/>
        </w:rPr>
        <w:t>ACL’s</w:t>
      </w:r>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r>
        <w:rPr>
          <w:rFonts w:eastAsia="Calibri"/>
        </w:rPr>
        <w:t>ACL’s</w:t>
      </w:r>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59FDD7E2"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r>
        <w:rPr>
          <w:rFonts w:eastAsia="Calibri"/>
        </w:rPr>
        <w:t>ACL’s</w:t>
      </w:r>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r>
        <w:rPr>
          <w:rFonts w:eastAsia="Calibri"/>
        </w:rPr>
        <w:t>ACL’s</w:t>
      </w:r>
      <w:bookmarkEnd w:id="26"/>
      <w:r w:rsidRPr="00123E67">
        <w:rPr>
          <w:rFonts w:eastAsia="Calibri"/>
        </w:rPr>
        <w:t xml:space="preserve"> President shall preside. In the absence of the President, whomever a majority of the directors participating in the Board meeting choose shall preside at the meeting.</w:t>
      </w:r>
    </w:p>
    <w:bookmarkStart w:id="27" w:name="_Hlk37833814"/>
    <w:bookmarkStart w:id="28" w:name="_Hlk37833845"/>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r>
        <w:rPr>
          <w:rFonts w:eastAsia="Calibri"/>
        </w:rPr>
        <w:t>ACL’s</w:t>
      </w:r>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2EE0A8F9"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shareholders controlling a majority of the shares entitled to vote shall have the sole authority to approve a Board vote to compensate one or more directors for agreeing to serve on the Board.</w:t>
      </w:r>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r>
        <w:rPr>
          <w:rFonts w:eastAsia="Calibri"/>
        </w:rPr>
        <w:t>ACL</w:t>
      </w:r>
      <w:r w:rsidRPr="00123E67">
        <w:rPr>
          <w:rFonts w:eastAsia="Calibri"/>
        </w:rPr>
        <w:t xml:space="preserve"> and a director (or between </w:t>
      </w:r>
      <w:r>
        <w:rPr>
          <w:rFonts w:eastAsia="Calibri"/>
        </w:rPr>
        <w:t>ACL</w:t>
      </w:r>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r>
        <w:rPr>
          <w:rFonts w:eastAsia="Calibri"/>
        </w:rPr>
        <w:t>ACL</w:t>
      </w:r>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r>
        <w:rPr>
          <w:rFonts w:eastAsia="Calibri"/>
        </w:rPr>
        <w:t>ACL’s</w:t>
      </w:r>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r>
        <w:rPr>
          <w:rFonts w:eastAsia="Calibri"/>
        </w:rPr>
        <w:t>ACL</w:t>
      </w:r>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E548178" w14:textId="63E0880B" w:rsidR="00654D4F" w:rsidRDefault="00654D4F" w:rsidP="00654D4F">
      <w:pPr>
        <w:spacing w:after="264"/>
      </w:pPr>
      <w:r>
        <w:t xml:space="preserve">At all times, </w:t>
      </w:r>
      <w:r>
        <w:t>ACL</w:t>
      </w:r>
      <w:r>
        <w:t xml:space="preserve"> shall have a President, Secretary, and Treasurer (often known as the Chief Financial Officer). The Board may create as many other offices, and select as many other officers, to serve </w:t>
      </w:r>
      <w:r>
        <w:t>ACL</w:t>
      </w:r>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58CA7D74" w14:textId="7B43B6E1" w:rsidR="00A91379" w:rsidRDefault="00A91379" w:rsidP="00A91379">
      <w:pPr>
        <w:spacing w:after="264"/>
      </w:pPr>
      <w:r>
        <w:t xml:space="preserve">Subject to an agreement between </w:t>
      </w:r>
      <w:r>
        <w:t>ACL</w:t>
      </w:r>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bookmarkStart w:id="36" w:name="_Hlk38277184"/>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r>
        <w:t>ACL’s</w:t>
      </w:r>
      <w:r w:rsidRPr="004D7801">
        <w:t xml:space="preserve"> officers from time to time. In the absence of such a designation, however, each of the officers shall have the powers and duties typically held by other similarly situated officers in other corporations.</w:t>
      </w:r>
    </w:p>
    <w:bookmarkStart w:id="37" w:name="_Hlk38346297"/>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r>
        <w:t>ACL’s</w:t>
      </w:r>
      <w:r w:rsidRPr="00FF729D">
        <w:t xml:space="preserve"> business, no officer, director, agent, or representative of </w:t>
      </w:r>
      <w:r>
        <w:t>ACL</w:t>
      </w:r>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r>
        <w:t>ACL</w:t>
      </w:r>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r>
        <w:rPr>
          <w:rFonts w:eastAsia="Calibri"/>
          <w:szCs w:val="22"/>
        </w:rPr>
        <w:t>ACL</w:t>
      </w:r>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r>
        <w:rPr>
          <w:rFonts w:eastAsia="Calibri"/>
          <w:szCs w:val="22"/>
        </w:rPr>
        <w:t>ACL</w:t>
      </w:r>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r>
        <w:t>Authority to Issue and Relative Rights</w:t>
      </w:r>
      <w:r w:rsidR="00A86724">
        <w:t xml:space="preserve"> Amongst Class</w:t>
      </w:r>
      <w:r w:rsidR="004D67D2">
        <w:t>es</w:t>
      </w:r>
      <w:r w:rsidR="00A86724">
        <w:t>/Series</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r>
        <w:rPr>
          <w:rFonts w:eastAsia="Calibri"/>
          <w:szCs w:val="22"/>
        </w:rPr>
        <w:t>ACL</w:t>
      </w:r>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r>
        <w:rPr>
          <w:rFonts w:eastAsia="Calibri"/>
          <w:szCs w:val="22"/>
        </w:rPr>
        <w:t>ACL</w:t>
      </w:r>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r>
        <w:rPr>
          <w:rFonts w:eastAsia="Calibri"/>
          <w:szCs w:val="22"/>
        </w:rPr>
        <w:t>ACL</w:t>
      </w:r>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r>
        <w:rPr>
          <w:rFonts w:eastAsia="Calibri"/>
          <w:szCs w:val="22"/>
        </w:rPr>
        <w:t>ACL</w:t>
      </w:r>
      <w:r w:rsidRPr="00FE60EE">
        <w:rPr>
          <w:rFonts w:eastAsia="Calibri"/>
          <w:szCs w:val="22"/>
        </w:rPr>
        <w:t>.</w:t>
      </w:r>
      <w:r w:rsidR="008E2ED7">
        <w:rPr>
          <w:rFonts w:eastAsia="Calibri"/>
          <w:szCs w:val="22"/>
        </w:rPr>
        <w:t xml:space="preserve"> If, however, </w:t>
      </w:r>
      <w:r>
        <w:t>ACL</w:t>
      </w:r>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r>
        <w:rPr>
          <w:rFonts w:eastAsia="Calibri"/>
          <w:szCs w:val="22"/>
        </w:rPr>
        <w:t>ACL</w:t>
      </w:r>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r>
        <w:rPr>
          <w:rFonts w:eastAsia="Calibri"/>
          <w:szCs w:val="22"/>
        </w:rPr>
        <w:t>ACL’s</w:t>
      </w:r>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r>
        <w:rPr>
          <w:rFonts w:eastAsia="Calibri"/>
          <w:szCs w:val="22"/>
        </w:rPr>
        <w:t>ACL’s</w:t>
      </w:r>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r>
        <w:t>ACL’s</w:t>
      </w:r>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0C1C37" w:rsidP="00040C44">
      <w:pPr>
        <w:spacing w:after="264"/>
      </w:pPr>
      <w:r>
        <w:rPr>
          <w:rFonts w:eastAsia="Calibri"/>
          <w:szCs w:val="22"/>
        </w:rPr>
        <w:t>ACL</w:t>
      </w:r>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r>
        <w:rPr>
          <w:rFonts w:eastAsia="Calibri"/>
          <w:szCs w:val="22"/>
        </w:rPr>
        <w:t>ACL</w:t>
      </w:r>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r>
        <w:rPr>
          <w:rFonts w:eastAsia="Calibri"/>
          <w:szCs w:val="22"/>
        </w:rPr>
        <w:t>ACL</w:t>
      </w:r>
      <w:r w:rsidRPr="0097548F">
        <w:rPr>
          <w:rFonts w:eastAsia="Calibri"/>
          <w:szCs w:val="22"/>
        </w:rPr>
        <w:t xml:space="preserve"> may also utilize “security tokens” (e.g., such as in obtaining funding via crowd funding portals) as a means of issuing shares in the Company.</w:t>
      </w:r>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r>
        <w:t>ACL</w:t>
      </w:r>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r>
        <w:t>ACL</w:t>
      </w:r>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r>
        <w:rPr>
          <w:rFonts w:eastAsia="Calibri"/>
          <w:szCs w:val="22"/>
        </w:rPr>
        <w:t>ACL</w:t>
      </w:r>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r>
        <w:rPr>
          <w:rFonts w:eastAsia="Calibri"/>
          <w:szCs w:val="22"/>
        </w:rPr>
        <w:t>ACL’s</w:t>
      </w:r>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46B9B47A" w14:textId="0FA8FE5D" w:rsidR="0063632A" w:rsidRPr="0063632A" w:rsidRDefault="000C1C37" w:rsidP="0063632A">
      <w:pPr>
        <w:spacing w:after="264"/>
        <w:rPr>
          <w:rFonts w:eastAsia="Calibri"/>
          <w:szCs w:val="22"/>
        </w:rPr>
      </w:pPr>
      <w:r>
        <w:rPr>
          <w:rFonts w:eastAsia="Calibri"/>
          <w:szCs w:val="22"/>
        </w:rPr>
        <w:t>ACL’s</w:t>
      </w:r>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r>
        <w:rPr>
          <w:rFonts w:eastAsia="Calibri"/>
          <w:szCs w:val="22"/>
        </w:rPr>
        <w:t>ACL</w:t>
      </w:r>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r>
        <w:rPr>
          <w:rFonts w:eastAsia="Calibri"/>
          <w:szCs w:val="22"/>
        </w:rPr>
        <w:t>ACL’s</w:t>
      </w:r>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r>
        <w:rPr>
          <w:rFonts w:eastAsia="Calibri"/>
          <w:szCs w:val="22"/>
        </w:rPr>
        <w:t>ACL</w:t>
      </w:r>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r>
        <w:rPr>
          <w:rFonts w:eastAsia="Calibri"/>
          <w:szCs w:val="22"/>
        </w:rPr>
        <w:t>ACL</w:t>
      </w:r>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r>
        <w:rPr>
          <w:rFonts w:eastAsia="Calibri"/>
          <w:szCs w:val="22"/>
        </w:rPr>
        <w:t>ACL’s</w:t>
      </w:r>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r>
        <w:rPr>
          <w:rFonts w:eastAsia="Calibri"/>
          <w:szCs w:val="22"/>
        </w:rPr>
        <w:t>ACL</w:t>
      </w:r>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r>
        <w:t>ACL</w:t>
      </w:r>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r>
        <w:rPr>
          <w:rFonts w:eastAsia="Calibri"/>
          <w:szCs w:val="22"/>
        </w:rPr>
        <w:t>ACL</w:t>
      </w:r>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r>
        <w:rPr>
          <w:rFonts w:eastAsia="Calibri"/>
          <w:szCs w:val="22"/>
        </w:rPr>
        <w:t>ACL</w:t>
      </w:r>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r>
        <w:rPr>
          <w:rFonts w:eastAsia="Calibri"/>
          <w:szCs w:val="22"/>
        </w:rPr>
        <w:t>ACL’s</w:t>
      </w:r>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r>
        <w:t>ACL</w:t>
      </w:r>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r>
        <w:rPr>
          <w:rFonts w:eastAsia="Calibri"/>
          <w:szCs w:val="22"/>
        </w:rPr>
        <w:t>ACL</w:t>
      </w:r>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31D1" w14:textId="77777777" w:rsidR="00A47CBC" w:rsidRDefault="00A47CBC" w:rsidP="00FA74B4">
      <w:pPr>
        <w:spacing w:after="264"/>
      </w:pPr>
      <w:r>
        <w:separator/>
      </w:r>
    </w:p>
  </w:endnote>
  <w:endnote w:type="continuationSeparator" w:id="0">
    <w:p w14:paraId="5114D4D4" w14:textId="77777777" w:rsidR="00A47CBC" w:rsidRDefault="00A47CB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r w:rsidRPr="00647C36">
      <w:rPr>
        <w:bCs/>
        <w:color w:val="000099"/>
        <w:sz w:val="20"/>
        <w:szCs w:val="20"/>
      </w:rPr>
      <w:t xml:space="preserve">Bylaws of </w:t>
    </w:r>
    <w:r>
      <w:rPr>
        <w:bCs/>
        <w:color w:val="000099"/>
        <w:sz w:val="20"/>
        <w:szCs w:val="20"/>
      </w:rPr>
      <w:t>Acme Consulting, LLC</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85DF" w14:textId="77777777" w:rsidR="00A47CBC" w:rsidRDefault="00A47CBC" w:rsidP="00FA74B4">
      <w:pPr>
        <w:spacing w:after="264"/>
      </w:pPr>
      <w:r>
        <w:separator/>
      </w:r>
    </w:p>
  </w:footnote>
  <w:footnote w:type="continuationSeparator" w:id="0">
    <w:p w14:paraId="2E626F16" w14:textId="77777777" w:rsidR="00A47CBC" w:rsidRDefault="00A47CB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0FD3"/>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1C37"/>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141"/>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5F42"/>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68C1"/>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4C0"/>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C34"/>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1AD"/>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47CBC"/>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4F0F"/>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4D86"/>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B72"/>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31ED"/>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551A9"/>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0E9C"/>
    <w:rsid w:val="007849BD"/>
    <w:rsid w:val="007D332F"/>
    <w:rsid w:val="007D5405"/>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A2403"/>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E47BD"/>
    <w:rsid w:val="00CF109D"/>
    <w:rsid w:val="00D24238"/>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0" row="1">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IMPORTANT INFORMATION&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placeholder&quot;:&quot;00117 (Joimax-Gen Corp)&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100722&quot;,&quot;id&quot;:&quot;bylaws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3949</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547</cp:revision>
  <cp:lastPrinted>2020-04-20T17:37:00Z</cp:lastPrinted>
  <dcterms:created xsi:type="dcterms:W3CDTF">2020-02-07T19:42:00Z</dcterms:created>
  <dcterms:modified xsi:type="dcterms:W3CDTF">2022-10-07T13:48:00Z</dcterms:modified>
</cp:coreProperties>
</file>