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Chen v. Ridgemoor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TP</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This was the second consultation with the Client, following an initial discussion approximately two months earlier. The HOA recently conducted a board election following an ownership election cycle. Prior to the election, the HOA represented that if a quorum was not reached, ballots would be opened; however, this election marked the first time the HOA failed to lower the quorum and proceed with a subsequent election.
          <w:br/>
          <w:br/>
          The Client had considered pursuing a recall but elected to wait for the scheduled election. The Board later claimed it had consulted counsel and asserted that certain signatures were invalid. The Client collected 109 ballots. The HOA scheduled the election meeting approximately 20 miles from the property, and only 13 homeowners attended in person.
          <w:br/>
          <w:br/>
          The HOA retained an Inspector of Elections, who announced that quorum had not been reached, stating that only 191 ballots were received. Homeowners were present before 6:00 p.m., but no formal action occurred. Before leaving, the Inspector advised attendees they could enter the conference room to verify receipt of their ballots. At that time, the Client observed two board members and the manager in the room, with one board member participating by phone. The Inspector appeared distressed due to a board member shouting at her.
          <w:br/>
          <w:br/>
          Approximately one week later, the management company sent an email stating that a homeowner had adjourned the meeting and another had seconded the motion, and that no further elections would be held until 2026. The Client disputes that any homeowner motioned to adjourn and reports that multiple witnesses present at the meeting confirm no such motion occurred. The HOA has nonetheless maintained this position.
          <w:br/>
          <w:br/>
          The property manager later scheduled a second meeting for December 4, 2025, at 5:45 p.m., which the Board subsequently overturned. Management has since taken the position that the Board “may” reconvene the election but is not required to do so, and directed the Inspector of Elections to cancel the reconvened meeting.
          <w:br/>
          <w:br/>
          The meeting was conducted by the Inspector of Elections, the manager, board members, and a board member’s spouse, while homeowners were instructed to remain in the lobby from approximately 5:30 p.m. to 6:30 p.m. The Client asserts the Inspector directed them to remain in the lobby, although management disputes this. The Inspector stated the meeting began at 6:00 p.m. The HOA’s bylaws require three board members to conduct a valid meeting.
          <w:br/>
          <w:br/>
          The Client’s objective is to compel the HOA to reconvene and complete the election. Counsel advised the Client that available options include pursuing a recall or demanding that the HOA reconvene the improperly adjourned election. The Client prefers that counsel initiate the ADR process by demanding reconvening of the election. Estimated costs through mediation were discussed. The Client will provide the names of the two homeowners who will be represented.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D41496" w:rsidP="00EF2457">
            <w:pPr>
              <w:spacing w:afterLines="0" w:after="0"/>
              <w:rPr>
                <w:rFonts w:cs="Times New Roman"/>
                <w:sz w:val="20"/>
                <w:szCs w:val="20"/>
              </w:rPr>
            </w:pPr>
            <w:r>
              <w:rPr>
                <w:rFonts w:cs="Times New Roman"/>
                <w:sz w:val="20"/>
                <w:szCs w:val="20"/>
              </w:rPr>
              <w:t>Eric Chen and Eric Onkit Kane</w:t>
            </w:r>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D41496" w:rsidP="00EF2457">
            <w:pPr>
              <w:spacing w:afterLines="0" w:after="0"/>
              <w:rPr>
                <w:rFonts w:cs="Times New Roman"/>
                <w:sz w:val="20"/>
                <w:szCs w:val="20"/>
              </w:rPr>
            </w:pPr>
            <w:r>
              <w:rPr>
                <w:rFonts w:cs="Times New Roman"/>
                <w:sz w:val="20"/>
                <w:szCs w:val="20"/>
              </w:rPr>
              <w:t>Eric Onkit Kane</w:t>
            </w:r>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D41496" w:rsidP="00EF2457">
            <w:pPr>
              <w:spacing w:afterLines="0" w:after="0"/>
              <w:rPr>
                <w:rFonts w:cs="Times New Roman"/>
                <w:sz w:val="20"/>
                <w:szCs w:val="20"/>
              </w:rPr>
            </w:pPr>
            <w:r>
              <w:rPr>
                <w:rFonts w:cs="Times New Roman"/>
                <w:sz w:val="20"/>
                <w:szCs w:val="20"/>
              </w:rPr>
              <w:t>Client</w:t>
            </w:r>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D41496" w:rsidP="00EF2457">
            <w:pPr>
              <w:spacing w:afterLines="0" w:after="0"/>
              <w:rPr>
                <w:rFonts w:cs="Times New Roman"/>
                <w:sz w:val="20"/>
                <w:szCs w:val="20"/>
              </w:rPr>
            </w:pPr>
            <w:r>
              <w:rPr>
                <w:rFonts w:cs="Times New Roman"/>
                <w:sz w:val="20"/>
                <w:szCs w:val="20"/>
              </w:rPr>
              <w:t>Ridgemoor Homeowner’s Association ("HOA")</w:t>
            </w:r>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D41496" w:rsidP="00EF2457">
            <w:pPr>
              <w:spacing w:afterLines="0" w:after="0"/>
              <w:rPr>
                <w:rFonts w:cs="Times New Roman"/>
                <w:sz w:val="20"/>
                <w:szCs w:val="20"/>
              </w:rPr>
            </w:pPr>
            <w:r>
              <w:rPr>
                <w:rFonts w:cs="Times New Roman"/>
                <w:sz w:val="20"/>
                <w:szCs w:val="20"/>
              </w:rPr>
              <w:t>HOA</w:t>
            </w:r>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r>
        <w:rPr>
          <w:rFonts w:cs="Times New Roman"/>
          <w:szCs w:val="24"/>
        </w:rPr>
        <w:t>The HOA’s governing documents, including the bylaws and election rules in effect at the time of the election.</w:t>
      </w:r>
      <w:r w:rsidR="0009017B">
        <w:rPr>
          <w:rFonts w:cs="Times New Roman"/>
          <w:szCs w:val="24"/>
        </w:rPr>
        <w:t xml:space="preserve"> </w:t>
      </w:r>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r>
        <w:rPr>
          <w:rFonts w:cs="Times New Roman"/>
          <w:szCs w:val="24"/>
        </w:rPr>
        <w:t>Written communications between the Board, management company, and Inspector of Elections concerning quorum, adjournment, and any instruction to cancel or reconvene the election.</w:t>
      </w:r>
      <w:r w:rsidR="0009017B">
        <w:rPr>
          <w:rFonts w:cs="Times New Roman"/>
          <w:szCs w:val="24"/>
        </w:rPr>
        <w:t xml:space="preserve"> </w:t>
      </w:r>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r>
        <w:rPr>
          <w:rFonts w:cs="Times New Roman"/>
          <w:szCs w:val="24"/>
        </w:rPr>
        <w:t>Confirmation of the number of ballots issued, received, and counted.</w:t>
      </w:r>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r>
        <w:rPr>
          <w:rFonts w:cs="Times New Roman"/>
          <w:szCs w:val="24"/>
        </w:rPr>
        <w:t>Identification of all board members present (in person or by phone) at the election meeting and whether a quorum of the Board was satisfied.</w:t>
      </w:r>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1BC8C939" w14:textId="77777777" w:rsidR="00EE31B6" w:rsidRDefault="00EE31B6" w:rsidP="00EE31B6">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r>
        <w:rPr>
          <w:rFonts w:cs="Times New Roman"/>
          <w:szCs w:val="24"/>
        </w:rPr>
        <w:t>Governing Documents (Current &amp; Election-Specific)  HOA Bylaws, CC&amp;Rs (if they address elections), and any Election Rules / Inspectors of Election policies in effect at the time of the election.</w:t>
      </w:r>
    </w:p>
    <w:p w14:paraId="78B9BD76" w14:textId="0DF52ACE" w:rsidR="00710C4F" w:rsidRDefault="00700EE3" w:rsidP="00700EE3">
      <w:pPr>
        <w:spacing w:after="264"/>
        <w:ind w:left="1080" w:hanging="360"/>
        <w:rPr>
          <w:rFonts w:cs="Times New Roman"/>
          <w:szCs w:val="24"/>
        </w:rPr>
      </w:pPr>
      <w:r w:rsidRPr="009D5AA1">
        <w:rPr>
          <w:rFonts w:cs="Times New Roman"/>
          <w:szCs w:val="24"/>
        </w:rPr>
        <w:t xml:space="preserve">—  </w:t>
      </w:r>
      <w:r>
        <w:rPr>
          <w:rFonts w:cs="Times New Roman"/>
          <w:szCs w:val="24"/>
        </w:rPr>
        <w:t>Written Communications Regarding the Election  All emails, notices, and correspondence between the Board, management company, Inspector of Elections, and homeowners relating to quorum, adjournment, ballot counting, cancellation, or reconvening of the election.</w:t>
      </w:r>
    </w:p>
    <w:p w14:paraId="537A2861" w14:textId="3C697AA0" w:rsidR="009B3715" w:rsidRDefault="009B3715" w:rsidP="009B3715">
      <w:pPr>
        <w:spacing w:after="264"/>
        <w:ind w:left="1080" w:hanging="360"/>
        <w:rPr>
          <w:rFonts w:cs="Times New Roman"/>
          <w:szCs w:val="24"/>
        </w:rPr>
      </w:pPr>
      <w:r w:rsidRPr="009D5AA1">
        <w:rPr>
          <w:rFonts w:cs="Times New Roman"/>
          <w:szCs w:val="24"/>
        </w:rPr>
        <w:lastRenderedPageBreak/>
        <w:t xml:space="preserve">—  </w:t>
      </w:r>
      <w:r>
        <w:rPr>
          <w:rFonts w:cs="Times New Roman"/>
          <w:szCs w:val="24"/>
        </w:rPr>
        <w:t>Official Election Materials  Notices of election, ballots, ballot envelopes (if available), Inspector of Elections’ report or tally, and any written determination regarding quorum or adjournment.</w:t>
      </w:r>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r>
        <w:rPr>
          <w:rFonts w:cs="Times New Roman"/>
          <w:szCs w:val="24"/>
        </w:rPr>
        <w:t>Meeting Notices and Minutes (or Drafts)  Any notices, minutes, recordings, or written summaries for the election meeting and the purported adjourned meeting, including the later December 4, 2025 meeting that was scheduled and then overturned.</w:t>
      </w:r>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CC&amp;Rs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CC&amp;Rs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Prun</w:t>
      </w:r>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r w:rsidRPr="000F496F">
        <w:rPr>
          <w:rFonts w:cs="Times New Roman"/>
          <w:bCs/>
          <w:szCs w:val="24"/>
        </w:rPr>
        <w:t xml:space="preserve">HOAs have an affirmative duty to enforce the restrictions in </w:t>
      </w:r>
      <w:r>
        <w:rPr>
          <w:rFonts w:cs="Times New Roman"/>
          <w:bCs/>
          <w:szCs w:val="24"/>
        </w:rPr>
        <w:t>their governing documents.</w:t>
      </w:r>
      <w:r w:rsidRPr="000F496F">
        <w:rPr>
          <w:rFonts w:cs="Times New Roman"/>
          <w:bCs/>
          <w:szCs w:val="24"/>
        </w:rPr>
        <w:t xml:space="preserve"> (</w:t>
      </w:r>
      <w:r w:rsidRPr="000F496F">
        <w:rPr>
          <w:rFonts w:cs="Times New Roman"/>
          <w:bCs/>
          <w:i/>
          <w:iCs/>
          <w:szCs w:val="24"/>
        </w:rPr>
        <w:t>Ekstrom v. Marquesa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CC&amp;Rs,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Mensinger</w:t>
      </w:r>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CC&amp;Rs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lastRenderedPageBreak/>
        <w:t>—  The “enforcement” issues discussed in the context of the “Breach of CC&amp;Rs” cause of action above is also applicable to a declaratory relief claim.</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w:t>
      </w:r>
      <w:r w:rsidRPr="00177B61">
        <w:rPr>
          <w:rFonts w:cs="Times New Roman"/>
          <w:bCs/>
          <w:szCs w:val="24"/>
        </w:rPr>
        <w:lastRenderedPageBreak/>
        <w:t xml:space="preserve">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w:t>
      </w:r>
      <w:proofErr w:type="spellStart"/>
      <w:r>
        <w:rPr>
          <w:rFonts w:cs="Times New Roman"/>
          <w:bCs/>
          <w:szCs w:val="24"/>
        </w:rPr>
        <w:t>affect</w:t>
      </w:r>
      <w:proofErr w:type="spellEnd"/>
      <w:r>
        <w:rPr>
          <w:rFonts w:cs="Times New Roman"/>
          <w:bCs/>
          <w:szCs w:val="24"/>
        </w:rPr>
        <w:t xml:space="preserve">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All HOAs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HOA’s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the HOA’s</w:t>
      </w:r>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t xml:space="preserve">•   Specify the timing of elections and requirements regarding holding of elections. </w:t>
      </w:r>
      <w:r w:rsidRPr="00FE448F">
        <w:rPr>
          <w:rFonts w:cs="Times New Roman"/>
          <w:bCs/>
          <w:szCs w:val="24"/>
        </w:rPr>
        <w:t>HOAs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HOAs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w:t>
      </w:r>
      <w:r w:rsidRPr="002D568B">
        <w:rPr>
          <w:rFonts w:cs="Times New Roman"/>
          <w:bCs/>
          <w:szCs w:val="24"/>
        </w:rPr>
        <w:lastRenderedPageBreak/>
        <w:t>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HOAs cannot revoke or suspend voting privileges as a measure of discipline or as a penalty for a member who is behind on dues. In addition, HOAs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lastRenderedPageBreak/>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r w:rsidR="00301AC6" w:rsidRPr="00301AC6">
        <w:rPr>
          <w:rFonts w:cs="Times New Roman"/>
          <w:bCs/>
          <w:szCs w:val="24"/>
        </w:rPr>
        <w:t xml:space="preserve">HOAs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t xml:space="preserve">—  Civil Code section 5200 now requires </w:t>
      </w:r>
      <w:r w:rsidRPr="00CE153F">
        <w:rPr>
          <w:rFonts w:cs="Times New Roman"/>
          <w:bCs/>
          <w:szCs w:val="24"/>
        </w:rPr>
        <w:t>HOAs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lastRenderedPageBreak/>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bookmarkStart w:id="27" w:name="_Hlk42081736"/>
    <w:p w14:paraId="1144132A" w14:textId="77777777" w:rsidR="003F0E15" w:rsidRDefault="00B07EA3" w:rsidP="00E13C80">
      <w:pPr>
        <w:pStyle w:val="Heading2"/>
        <w:spacing w:after="264"/>
      </w:pPr>
      <w:r w:rsidRPr="004647C7">
        <w:fldChar w:fldCharType="begin"/>
      </w:r>
      <w:r w:rsidRPr="004647C7">
        <w:instrText xml:space="preserve"> LISTNUM LegalDefault \l 2 </w:instrText>
      </w:r>
      <w:r w:rsidRPr="004647C7">
        <w:fldChar w:fldCharType="end"/>
      </w:r>
      <w:r w:rsidR="00146EC3">
        <w:br/>
      </w:r>
      <w:r>
        <w:t>Violation of the Davis–Stirling Common Interest Development Act</w:t>
      </w:r>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r>
        <w:rPr>
          <w:rFonts w:cs="Times New Roman"/>
          <w:szCs w:val="24"/>
        </w:rPr>
        <w:t>Violation of the Davis–Stirling Common Interest Development Act</w:t>
      </w:r>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i/>
          <w:iCs/>
          <w:szCs w:val="24"/>
          <w:highlight w:val="green"/>
        </w:rPr>
        <w:t>violation of the davis–stirling common interest development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
          At this stage, the facts suggest potential procedural and statutory defects in the HOA’s election process that warrant early intervention, particularly given the Board’s position that it will remain in power until 2026. Because the Client’s primary objective is equitable relief rather than damages, this matter is well-suited for resolution through the Davis–Stirling ADR process before incurring the costs and risks of litigation.
          <w:br/>
          <w:br/>
          However, the strength of any enforcement action will turn on contemporaneous written records—especially governing documents, election notices, communications with the Inspector of Elections, and any memorialization of the alleged adjournment. Preservation of evidence is therefore critical, and the HOA’s evolving explanations may support arguments of bad faith or improper self-entrenchment if inconsistencies are confirmed.
          <w:br/>
          <w:br/>
          Finally, timing remains a practical consideration. Continued delay may further entrench the current Board and complicate available remedies, making prompt ADR demand and strategic framing of the dispute as a governing-documents enforcement action essential to protect the Client’s rights and maximize leverage, including potential recovery of attorneys’ fees.
        </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Chen v. Ridgemoor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