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Vertongen v. 22 Station HOA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owns the real property located at 1850 Village South Road, Unit 408, Olympic Valley, CA (the “Property”), which is situated within the HOA, a condominium community in Squaw Valley, CA. 
          <w:br/>
          <w:br/>
          In December 2024, Client’s short-term rental tenant forced the front door open. As a result, the door sustained some damage. Client contends that it was only partially damaged and could have been fixed. The HOA disputed that contention and proceeded to replace the entire door and door frame, eventually incurring nearly $10,000 in expenses that it subsequently charged against Client as a reimbursement assessment.
          <w:br/>
          <w:br/>
          Client contends that the door falsely concluded that the entire door was damaged and incurred unnecessary expenses for which she shouldn’t be responsible.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D41496" w:rsidP="0054507B">
            <w:pPr>
              <w:spacing w:afterLines="0" w:after="0"/>
              <w:rPr>
                <w:rFonts w:cs="Times New Roman"/>
                <w:sz w:val="20"/>
                <w:szCs w:val="20"/>
              </w:rPr>
            </w:pPr>
            <w:r>
              <w:rPr>
                <w:rFonts w:cs="Times New Roman"/>
                <w:sz w:val="20"/>
                <w:szCs w:val="20"/>
              </w:rPr>
              <w:t>Caroline Vertongen</w:t>
            </w:r>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D41496" w:rsidP="0054507B">
            <w:pPr>
              <w:spacing w:afterLines="0" w:after="0"/>
              <w:rPr>
                <w:rFonts w:cs="Times New Roman"/>
                <w:sz w:val="20"/>
                <w:szCs w:val="20"/>
              </w:rPr>
            </w:pPr>
            <w:r>
              <w:rPr>
                <w:rFonts w:cs="Times New Roman"/>
                <w:sz w:val="20"/>
                <w:szCs w:val="20"/>
              </w:rPr>
              <w:t>22 Station Owners Association, Inc. ("HOA")</w:t>
            </w:r>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D41496" w:rsidP="0054507B">
            <w:pPr>
              <w:spacing w:afterLines="0" w:after="0"/>
              <w:rPr>
                <w:rFonts w:cs="Times New Roman"/>
                <w:sz w:val="20"/>
                <w:szCs w:val="20"/>
              </w:rPr>
            </w:pPr>
            <w:r>
              <w:rPr>
                <w:rFonts w:cs="Times New Roman"/>
                <w:sz w:val="20"/>
                <w:szCs w:val="20"/>
              </w:rPr>
              <w:t>HOA</w:t>
            </w:r>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r w:rsidRPr="000F496F">
        <w:rPr>
          <w:rFonts w:cs="Times New Roman"/>
          <w:bCs/>
          <w:i/>
          <w:iCs/>
          <w:szCs w:val="24"/>
        </w:rPr>
        <w:t>Ekstrom v. Marquesa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Mensinger</w:t>
      </w:r>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56EB2880"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n addition, the prevailing part</w:t>
      </w:r>
      <w:r w:rsidR="00714E08">
        <w:rPr>
          <w:rFonts w:cs="Times New Roman"/>
          <w:bCs/>
          <w:szCs w:val="24"/>
        </w:rPr>
        <w:t>y</w:t>
      </w:r>
      <w:r w:rsidR="00C87DA9" w:rsidRPr="00CB094B">
        <w:rPr>
          <w:rFonts w:cs="Times New Roman"/>
          <w:bCs/>
          <w:szCs w:val="24"/>
        </w:rPr>
        <w:t xml:space="preserve"> in any such litigation will also be entitled to their attorneys’ fees and costs under </w:t>
      </w:r>
      <w:r>
        <w:rPr>
          <w:rFonts w:cs="Times New Roman"/>
          <w:bCs/>
          <w:szCs w:val="24"/>
        </w:rPr>
        <w:t>Article XVII, Section 17.02</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407A95C8" w14:textId="77777777" w:rsidR="003F0E15" w:rsidRDefault="00D41496" w:rsidP="002F0FB2">
      <w:pPr>
        <w:spacing w:after="264"/>
        <w:rPr>
          <w:rFonts w:cs="Times New Roman"/>
          <w:bCs/>
          <w:szCs w:val="24"/>
        </w:rPr>
      </w:pPr>
      <w:r>
        <w:rPr>
          <w:rFonts w:cs="Times New Roman"/>
          <w:bCs/>
          <w:szCs w:val="24"/>
        </w:rPr>
        <w:t>Article IV, Section 4.10(d)</w:t>
      </w:r>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Vertongen v. 22 Station HOA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