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Badran v. Mesa Vista North Townhomes HOA et al.</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JG</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Violation of California Civil Code Section 1102.6</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TBD</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3CFFBD1" w14:textId="77777777" w:rsidTr="0020072A">
        <w:tc>
          <w:tcPr>
            <w:tcW w:w="5215" w:type="dxa"/>
            <w:shd w:val="clear" w:color="auto" w:fill="B4C6E7" w:themeFill="accent1" w:themeFillTint="66"/>
          </w:tcPr>
          <w:p w14:paraId="05CA673A" w14:textId="77777777" w:rsidR="001B2429" w:rsidRPr="00BF20DA" w:rsidRDefault="001B2429" w:rsidP="009855CA">
            <w:pPr>
              <w:spacing w:afterLines="0" w:after="0"/>
              <w:rPr>
                <w:rFonts w:ascii="Times New Roman" w:hAnsi="Times New Roman" w:cs="Times New Roman"/>
                <w:b/>
              </w:rPr>
            </w:pPr>
          </w:p>
          <w:p w14:paraId="40E6D35E" w14:textId="7FC3B5A8"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724798EF" w14:textId="77777777" w:rsidR="001B2429" w:rsidRPr="00BF20DA" w:rsidRDefault="001B2429" w:rsidP="009855CA">
            <w:pPr>
              <w:spacing w:afterLines="0" w:after="0"/>
              <w:rPr>
                <w:rFonts w:ascii="Times New Roman" w:hAnsi="Times New Roman" w:cs="Times New Roman"/>
                <w:b/>
              </w:rPr>
            </w:pPr>
          </w:p>
          <w:p w14:paraId="3FC2F638"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356CA3AD" w14:textId="77777777" w:rsidR="001B2429" w:rsidRPr="00BF20DA" w:rsidRDefault="001B2429" w:rsidP="009855CA">
            <w:pPr>
              <w:spacing w:afterLines="0" w:after="0"/>
              <w:rPr>
                <w:rFonts w:ascii="Times New Roman" w:hAnsi="Times New Roman" w:cs="Times New Roman"/>
                <w:b/>
              </w:rPr>
            </w:pPr>
          </w:p>
        </w:tc>
      </w:tr>
      <w:tr w:rsidR="00246DB4" w:rsidRPr="00BF20DA" w14:paraId="4EDD6827" w14:textId="77777777" w:rsidTr="0020072A">
        <w:tc>
          <w:tcPr>
            <w:tcW w:w="5215" w:type="dxa"/>
            <w:vAlign w:val="center"/>
          </w:tcPr>
          <w:p w14:paraId="34C117B8" w14:textId="77777777" w:rsidR="00246DB4" w:rsidRDefault="00246DB4" w:rsidP="00246DB4">
            <w:pPr>
              <w:spacing w:afterLines="0" w:after="0"/>
              <w:rPr>
                <w:rFonts w:cs="Times New Roman"/>
                <w:sz w:val="20"/>
                <w:szCs w:val="20"/>
              </w:rPr>
            </w:pPr>
          </w:p>
          <w:p w14:paraId="6EB7CEA6"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Christopher Badran</w:t>
            </w:r>
            <w:r w:rsidR="00246DB4" w:rsidRPr="0037460B">
              <w:rPr>
                <w:rFonts w:ascii="Times New Roman" w:hAnsi="Times New Roman" w:cs="Times New Roman"/>
                <w:sz w:val="20"/>
                <w:szCs w:val="20"/>
              </w:rPr>
              <w:t xml:space="preserve"> (“Client”)</w:t>
            </w:r>
          </w:p>
          <w:p w14:paraId="1C7FAA39" w14:textId="77777777" w:rsidR="00246DB4" w:rsidRDefault="00246DB4" w:rsidP="00246DB4">
            <w:pPr>
              <w:spacing w:afterLines="0" w:after="0"/>
              <w:rPr>
                <w:rFonts w:ascii="Times New Roman" w:hAnsi="Times New Roman" w:cs="Times New Roman"/>
                <w:sz w:val="20"/>
                <w:szCs w:val="20"/>
              </w:rPr>
            </w:pPr>
          </w:p>
          <w:p w14:paraId="68B2002E"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w:t>
            </w:r>
            <w:r>
              <w:rPr>
                <w:rFonts w:ascii="Times New Roman" w:hAnsi="Times New Roman" w:cs="Times New Roman"/>
                <w:sz w:val="20"/>
                <w:szCs w:val="20"/>
                <w:highlight w:val="green"/>
              </w:rPr>
              <w:lastRenderedPageBreak/>
              <w:t xml:space="preserve">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CFC3DD7" w14:textId="47C391E7"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538B523" w14:textId="77777777" w:rsidR="00246DB4" w:rsidRDefault="00246DB4" w:rsidP="00246DB4">
            <w:pPr>
              <w:spacing w:afterLines="0" w:after="0"/>
              <w:rPr>
                <w:rFonts w:ascii="Times New Roman" w:hAnsi="Times New Roman" w:cs="Times New Roman"/>
                <w:sz w:val="20"/>
                <w:szCs w:val="20"/>
              </w:rPr>
            </w:pPr>
          </w:p>
          <w:p w14:paraId="747F333C" w14:textId="3B89AEB2"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1F9325C4" w14:textId="77777777" w:rsidTr="0020072A">
        <w:tc>
          <w:tcPr>
            <w:tcW w:w="5215" w:type="dxa"/>
            <w:vAlign w:val="center"/>
          </w:tcPr>
          <w:p w14:paraId="1EF1749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Mesa Vista North Townhomes Owners Association</w:t>
            </w:r>
          </w:p>
        </w:tc>
        <w:tc>
          <w:tcPr>
            <w:tcW w:w="5490" w:type="dxa"/>
            <w:vAlign w:val="center"/>
          </w:tcPr>
          <w:p w14:paraId="301379B6" w14:textId="77777777" w:rsidR="001B2429" w:rsidRPr="00BF20DA" w:rsidRDefault="001B2429" w:rsidP="009855CA">
            <w:pPr>
              <w:spacing w:afterLines="0" w:after="0"/>
              <w:rPr>
                <w:rFonts w:ascii="Times New Roman" w:hAnsi="Times New Roman" w:cs="Times New Roman"/>
                <w:sz w:val="20"/>
                <w:szCs w:val="20"/>
              </w:rPr>
            </w:pPr>
          </w:p>
          <w:p w14:paraId="76310A5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w:t>
            </w:r>
            <w:r w:rsidR="001B2429" w:rsidRPr="00BF20DA">
              <w:rPr>
                <w:rFonts w:ascii="Times New Roman" w:hAnsi="Times New Roman" w:cs="Times New Roman"/>
                <w:sz w:val="20"/>
                <w:szCs w:val="20"/>
              </w:rPr>
              <w:t xml:space="preserve"> </w:t>
            </w:r>
          </w:p>
          <w:p w14:paraId="52659F0A"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3482FF51" w14:textId="77777777" w:rsidTr="0020072A">
        <w:tc>
          <w:tcPr>
            <w:tcW w:w="5215" w:type="dxa"/>
            <w:vAlign w:val="center"/>
          </w:tcPr>
          <w:p w14:paraId="6B1C8F97"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Heidi Hirmer</w:t>
            </w:r>
          </w:p>
        </w:tc>
        <w:tc>
          <w:tcPr>
            <w:tcW w:w="5490" w:type="dxa"/>
            <w:vAlign w:val="center"/>
          </w:tcPr>
          <w:p w14:paraId="41BD8752" w14:textId="77777777" w:rsidR="001B2429" w:rsidRPr="00BF20DA" w:rsidRDefault="001B2429" w:rsidP="009855CA">
            <w:pPr>
              <w:spacing w:afterLines="0" w:after="0"/>
              <w:rPr>
                <w:rFonts w:ascii="Times New Roman" w:hAnsi="Times New Roman" w:cs="Times New Roman"/>
                <w:sz w:val="20"/>
                <w:szCs w:val="20"/>
              </w:rPr>
            </w:pPr>
          </w:p>
          <w:p w14:paraId="1EFD2B2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Seller of Property</w:t>
            </w:r>
            <w:r w:rsidR="001B2429" w:rsidRPr="00BF20DA">
              <w:rPr>
                <w:rFonts w:ascii="Times New Roman" w:hAnsi="Times New Roman" w:cs="Times New Roman"/>
                <w:sz w:val="20"/>
                <w:szCs w:val="20"/>
              </w:rPr>
              <w:t xml:space="preserve"> </w:t>
            </w:r>
          </w:p>
          <w:p w14:paraId="716E6E1B" w14:textId="77777777" w:rsidR="001B2429" w:rsidRPr="00BF20DA" w:rsidRDefault="001B2429" w:rsidP="009855CA">
            <w:pPr>
              <w:spacing w:afterLines="0" w:after="0"/>
              <w:rPr>
                <w:rFonts w:ascii="Times New Roman" w:hAnsi="Times New Roman" w:cs="Times New Roman"/>
                <w:sz w:val="20"/>
                <w:szCs w:val="20"/>
              </w:rPr>
            </w:pPr>
          </w:p>
        </w:tc>
      </w:tr>
    </w:tbl>
    <w:p w14:paraId="07A1104C"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TBD</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TBD</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6A6F8375" w14:textId="2AB5E095" w:rsidR="00AE2E67" w:rsidRPr="00020852" w:rsidRDefault="00A134AB" w:rsidP="004F5196">
      <w:pPr>
        <w:spacing w:after="264"/>
        <w:rPr>
          <w:rFonts w:cs="Times New Roman"/>
        </w:rPr>
      </w:pPr>
      <w:r w:rsidRPr="00020852">
        <w:rPr>
          <w:rFonts w:cs="Times New Roman"/>
        </w:rPr>
        <w:t xml:space="preserve">Client believes that </w:t>
      </w:r>
      <w:r w:rsidR="006C506D" w:rsidRPr="00020852">
        <w:rPr>
          <w:rFonts w:cs="Times New Roman"/>
        </w:rPr>
        <w:t xml:space="preserve">one or more third parties has possession, custody, control, and/or knowledge of the following documents/information. </w:t>
      </w:r>
    </w:p>
    <w:tbl>
      <w:tblPr>
        <w:tblStyle w:val="TableGrid"/>
        <w:tblW w:w="0" w:type="auto"/>
        <w:tblLayout w:type="fixed"/>
        <w:tblCellMar>
          <w:left w:w="115" w:type="dxa"/>
          <w:right w:w="115" w:type="dxa"/>
        </w:tblCellMar>
        <w:tblLook w:val="04A0" w:firstRow="1" w:lastRow="0" w:firstColumn="1" w:lastColumn="0" w:noHBand="0" w:noVBand="1"/>
      </w:tblPr>
      <w:tblGrid>
        <w:gridCol w:w="3415"/>
        <w:gridCol w:w="4410"/>
        <w:gridCol w:w="2880"/>
      </w:tblGrid>
      <w:tr w:rsidR="00D85864" w:rsidRPr="00020852" w14:paraId="2301A002" w14:textId="77777777" w:rsidTr="000A7FAF">
        <w:trPr>
          <w:cantSplit/>
        </w:trPr>
        <w:tc>
          <w:tcPr>
            <w:tcW w:w="3415" w:type="dxa"/>
            <w:shd w:val="clear" w:color="auto" w:fill="B4C6E7" w:themeFill="accent1" w:themeFillTint="66"/>
          </w:tcPr>
          <w:p w14:paraId="19D71081" w14:textId="77777777" w:rsidR="00D85864" w:rsidRPr="00020852" w:rsidRDefault="00D85864" w:rsidP="00CB4C47">
            <w:pPr>
              <w:spacing w:afterLines="0" w:after="0"/>
              <w:rPr>
                <w:rFonts w:ascii="Times New Roman" w:hAnsi="Times New Roman" w:cs="Times New Roman"/>
                <w:b/>
              </w:rPr>
            </w:pPr>
          </w:p>
          <w:p w14:paraId="6AA0DCC2" w14:textId="08636F0C"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Document/Information</w:t>
            </w:r>
          </w:p>
          <w:p w14:paraId="3841EBA6" w14:textId="77777777" w:rsidR="00D85864" w:rsidRPr="00020852" w:rsidRDefault="00D85864" w:rsidP="00CB4C47">
            <w:pPr>
              <w:spacing w:afterLines="0" w:after="0"/>
              <w:rPr>
                <w:rFonts w:ascii="Times New Roman" w:hAnsi="Times New Roman" w:cs="Times New Roman"/>
                <w:b/>
              </w:rPr>
            </w:pPr>
          </w:p>
        </w:tc>
        <w:tc>
          <w:tcPr>
            <w:tcW w:w="4410" w:type="dxa"/>
            <w:shd w:val="clear" w:color="auto" w:fill="B4C6E7" w:themeFill="accent1" w:themeFillTint="66"/>
          </w:tcPr>
          <w:p w14:paraId="53FA0BBB" w14:textId="77777777" w:rsidR="00D85864" w:rsidRPr="00020852" w:rsidRDefault="00D85864" w:rsidP="00CB4C47">
            <w:pPr>
              <w:spacing w:afterLines="0" w:after="0"/>
              <w:rPr>
                <w:rFonts w:ascii="Times New Roman" w:hAnsi="Times New Roman" w:cs="Times New Roman"/>
                <w:b/>
              </w:rPr>
            </w:pPr>
          </w:p>
          <w:p w14:paraId="3AA0E943" w14:textId="7B0023E9"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Significance of the Document/Information</w:t>
            </w:r>
          </w:p>
        </w:tc>
        <w:tc>
          <w:tcPr>
            <w:tcW w:w="2880" w:type="dxa"/>
            <w:shd w:val="clear" w:color="auto" w:fill="B4C6E7" w:themeFill="accent1" w:themeFillTint="66"/>
          </w:tcPr>
          <w:p w14:paraId="4A21917F" w14:textId="77777777" w:rsidR="00D85864" w:rsidRPr="00020852" w:rsidRDefault="00D85864" w:rsidP="00CB4C47">
            <w:pPr>
              <w:spacing w:afterLines="0" w:after="0"/>
              <w:rPr>
                <w:rFonts w:ascii="Times New Roman" w:hAnsi="Times New Roman" w:cs="Times New Roman"/>
                <w:b/>
              </w:rPr>
            </w:pPr>
          </w:p>
          <w:p w14:paraId="04D78D08" w14:textId="7020BE47"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Identity of Third Party</w:t>
            </w:r>
          </w:p>
          <w:p w14:paraId="5C4A21DA" w14:textId="77777777" w:rsidR="00D85864" w:rsidRPr="00020852" w:rsidRDefault="00D85864" w:rsidP="00CB4C47">
            <w:pPr>
              <w:spacing w:afterLines="0" w:after="0"/>
              <w:rPr>
                <w:rFonts w:ascii="Times New Roman" w:hAnsi="Times New Roman" w:cs="Times New Roman"/>
                <w:b/>
              </w:rPr>
            </w:pPr>
          </w:p>
        </w:tc>
      </w:tr>
      <w:tr w:rsidR="00D85864" w:rsidRPr="00020852" w14:paraId="70CD085B" w14:textId="77777777" w:rsidTr="000A7FAF">
        <w:trPr>
          <w:cantSplit/>
        </w:trPr>
        <w:tc>
          <w:tcPr>
            <w:tcW w:w="3415" w:type="dxa"/>
            <w:vAlign w:val="center"/>
          </w:tcPr>
          <w:p w14:paraId="74BCF475" w14:textId="77777777" w:rsidR="00D85864" w:rsidRPr="00020852" w:rsidRDefault="00D85864" w:rsidP="00CB4C47">
            <w:pPr>
              <w:spacing w:afterLines="0" w:after="0"/>
              <w:rPr>
                <w:rFonts w:ascii="Times New Roman" w:hAnsi="Times New Roman" w:cs="Times New Roman"/>
                <w:sz w:val="20"/>
                <w:szCs w:val="20"/>
              </w:rPr>
            </w:pPr>
          </w:p>
          <w:p w14:paraId="0FFB169B" w14:textId="51B71D19"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Minutes from the executive session dated 3/5/20 re Client’s disciplinary hearing.</w:t>
            </w:r>
          </w:p>
          <w:p w14:paraId="2E9EF394"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2F3423E" w14:textId="77777777" w:rsidR="00D85864" w:rsidRPr="00020852" w:rsidRDefault="00D85864" w:rsidP="00CB4C47">
            <w:pPr>
              <w:spacing w:afterLines="0" w:after="0"/>
              <w:rPr>
                <w:rFonts w:ascii="Times New Roman" w:hAnsi="Times New Roman" w:cs="Times New Roman"/>
                <w:sz w:val="20"/>
                <w:szCs w:val="20"/>
              </w:rPr>
            </w:pPr>
          </w:p>
          <w:p w14:paraId="1B3E3484" w14:textId="61286E21" w:rsidR="007A6CDE"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These minutes, which are not available to non-directors outside the context of litigation, will show that the Board acted arbitrarily and capriciously in disciplining Client.</w:t>
            </w:r>
          </w:p>
          <w:p w14:paraId="0128739E"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7E82B2D" w14:textId="4FA6A4A1"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PMC Management</w:t>
            </w:r>
          </w:p>
        </w:tc>
      </w:tr>
      <w:tr w:rsidR="00D85864" w:rsidRPr="00020852" w14:paraId="61A015AD" w14:textId="77777777" w:rsidTr="000A7FAF">
        <w:trPr>
          <w:cantSplit/>
        </w:trPr>
        <w:tc>
          <w:tcPr>
            <w:tcW w:w="3415" w:type="dxa"/>
            <w:vAlign w:val="center"/>
          </w:tcPr>
          <w:p w14:paraId="04C67A72" w14:textId="77777777" w:rsidR="00D85864" w:rsidRPr="00020852" w:rsidRDefault="00D85864" w:rsidP="00CB4C47">
            <w:pPr>
              <w:spacing w:afterLines="0" w:after="0"/>
              <w:rPr>
                <w:rFonts w:ascii="Times New Roman" w:hAnsi="Times New Roman" w:cs="Times New Roman"/>
                <w:sz w:val="20"/>
                <w:szCs w:val="20"/>
              </w:rPr>
            </w:pPr>
          </w:p>
          <w:p w14:paraId="4D540828"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2BC9CED5"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8109538" w14:textId="77777777" w:rsidR="00D85864" w:rsidRPr="00020852" w:rsidRDefault="00D85864" w:rsidP="00CB4C47">
            <w:pPr>
              <w:spacing w:afterLines="0" w:after="0"/>
              <w:rPr>
                <w:rFonts w:ascii="Times New Roman" w:hAnsi="Times New Roman" w:cs="Times New Roman"/>
                <w:sz w:val="20"/>
                <w:szCs w:val="20"/>
              </w:rPr>
            </w:pPr>
          </w:p>
          <w:p w14:paraId="2F398F5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E3DACBD"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2F18B337" w14:textId="679E8084"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27245E58" w14:textId="77777777" w:rsidTr="000A7FAF">
        <w:trPr>
          <w:cantSplit/>
        </w:trPr>
        <w:tc>
          <w:tcPr>
            <w:tcW w:w="3415" w:type="dxa"/>
            <w:vAlign w:val="center"/>
          </w:tcPr>
          <w:p w14:paraId="556C7FBD" w14:textId="77777777" w:rsidR="00D85864" w:rsidRPr="00020852" w:rsidRDefault="00D85864" w:rsidP="00CB4C47">
            <w:pPr>
              <w:spacing w:afterLines="0" w:after="0"/>
              <w:rPr>
                <w:rFonts w:ascii="Times New Roman" w:hAnsi="Times New Roman" w:cs="Times New Roman"/>
                <w:sz w:val="20"/>
                <w:szCs w:val="20"/>
              </w:rPr>
            </w:pPr>
          </w:p>
          <w:p w14:paraId="3E6D5319"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319ACF8"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0B0D5321" w14:textId="77777777" w:rsidR="00D85864" w:rsidRPr="00020852" w:rsidRDefault="00D85864" w:rsidP="00CB4C47">
            <w:pPr>
              <w:spacing w:afterLines="0" w:after="0"/>
              <w:rPr>
                <w:rFonts w:ascii="Times New Roman" w:hAnsi="Times New Roman" w:cs="Times New Roman"/>
                <w:sz w:val="20"/>
                <w:szCs w:val="20"/>
              </w:rPr>
            </w:pPr>
          </w:p>
          <w:p w14:paraId="193AD2D7"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0B72EE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E8F3657" w14:textId="46B5306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89D0AD4" w14:textId="77777777" w:rsidTr="000A7FAF">
        <w:trPr>
          <w:cantSplit/>
        </w:trPr>
        <w:tc>
          <w:tcPr>
            <w:tcW w:w="3415" w:type="dxa"/>
            <w:vAlign w:val="center"/>
          </w:tcPr>
          <w:p w14:paraId="39441C2D" w14:textId="77777777" w:rsidR="00D85864" w:rsidRPr="00020852" w:rsidRDefault="00D85864" w:rsidP="00CB4C47">
            <w:pPr>
              <w:spacing w:afterLines="0" w:after="0"/>
              <w:rPr>
                <w:rFonts w:ascii="Times New Roman" w:hAnsi="Times New Roman" w:cs="Times New Roman"/>
                <w:sz w:val="20"/>
                <w:szCs w:val="20"/>
              </w:rPr>
            </w:pPr>
          </w:p>
          <w:p w14:paraId="04F9CBC2"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7E0A8A0B"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55ECD84" w14:textId="77777777" w:rsidR="00D85864" w:rsidRPr="00020852" w:rsidRDefault="00D85864" w:rsidP="00CB4C47">
            <w:pPr>
              <w:spacing w:afterLines="0" w:after="0"/>
              <w:rPr>
                <w:rFonts w:ascii="Times New Roman" w:hAnsi="Times New Roman" w:cs="Times New Roman"/>
                <w:sz w:val="20"/>
                <w:szCs w:val="20"/>
              </w:rPr>
            </w:pPr>
          </w:p>
          <w:p w14:paraId="50FF352B"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9A781F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A31EEA5" w14:textId="300EC13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0CAB3C61" w14:textId="77777777" w:rsidTr="000A7FAF">
        <w:trPr>
          <w:cantSplit/>
        </w:trPr>
        <w:tc>
          <w:tcPr>
            <w:tcW w:w="3415" w:type="dxa"/>
            <w:vAlign w:val="center"/>
          </w:tcPr>
          <w:p w14:paraId="4BB54D84" w14:textId="77777777" w:rsidR="00D85864" w:rsidRPr="00020852" w:rsidRDefault="00D85864" w:rsidP="00CB4C47">
            <w:pPr>
              <w:spacing w:afterLines="0" w:after="0"/>
              <w:rPr>
                <w:rFonts w:ascii="Times New Roman" w:hAnsi="Times New Roman" w:cs="Times New Roman"/>
                <w:sz w:val="20"/>
                <w:szCs w:val="20"/>
              </w:rPr>
            </w:pPr>
          </w:p>
          <w:p w14:paraId="056BAD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EE70F59"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51448A25" w14:textId="77777777" w:rsidR="00D85864" w:rsidRPr="00020852" w:rsidRDefault="00D85864" w:rsidP="00CB4C47">
            <w:pPr>
              <w:spacing w:afterLines="0" w:after="0"/>
              <w:rPr>
                <w:rFonts w:ascii="Times New Roman" w:hAnsi="Times New Roman" w:cs="Times New Roman"/>
                <w:sz w:val="20"/>
                <w:szCs w:val="20"/>
              </w:rPr>
            </w:pPr>
          </w:p>
          <w:p w14:paraId="4D748BD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B25FEF1"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4BB227BC" w14:textId="41169CF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6FC3D91C" w14:textId="77777777" w:rsidTr="000A7FAF">
        <w:trPr>
          <w:cantSplit/>
        </w:trPr>
        <w:tc>
          <w:tcPr>
            <w:tcW w:w="3415" w:type="dxa"/>
            <w:vAlign w:val="center"/>
          </w:tcPr>
          <w:p w14:paraId="203809FD" w14:textId="77777777" w:rsidR="00D85864" w:rsidRPr="00020852" w:rsidRDefault="00D85864" w:rsidP="00CB4C47">
            <w:pPr>
              <w:spacing w:afterLines="0" w:after="0"/>
              <w:rPr>
                <w:rFonts w:ascii="Times New Roman" w:hAnsi="Times New Roman" w:cs="Times New Roman"/>
                <w:sz w:val="20"/>
                <w:szCs w:val="20"/>
              </w:rPr>
            </w:pPr>
          </w:p>
          <w:p w14:paraId="20E403F5"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67887B2"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38FAB29F" w14:textId="77777777" w:rsidR="00D85864" w:rsidRPr="00020852" w:rsidRDefault="00D85864" w:rsidP="00CB4C47">
            <w:pPr>
              <w:spacing w:afterLines="0" w:after="0"/>
              <w:rPr>
                <w:rFonts w:ascii="Times New Roman" w:hAnsi="Times New Roman" w:cs="Times New Roman"/>
                <w:sz w:val="20"/>
                <w:szCs w:val="20"/>
              </w:rPr>
            </w:pPr>
          </w:p>
          <w:p w14:paraId="04A35A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9CEDBD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FD454BE" w14:textId="1B8F941B"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6374B59" w14:textId="77777777" w:rsidTr="000A7FAF">
        <w:trPr>
          <w:cantSplit/>
        </w:trPr>
        <w:tc>
          <w:tcPr>
            <w:tcW w:w="3415" w:type="dxa"/>
            <w:vAlign w:val="center"/>
          </w:tcPr>
          <w:p w14:paraId="476CEA14" w14:textId="77777777" w:rsidR="00D85864" w:rsidRPr="00020852" w:rsidRDefault="00D85864" w:rsidP="00CB4C47">
            <w:pPr>
              <w:spacing w:afterLines="0" w:after="0"/>
              <w:rPr>
                <w:rFonts w:ascii="Times New Roman" w:hAnsi="Times New Roman" w:cs="Times New Roman"/>
                <w:sz w:val="20"/>
                <w:szCs w:val="20"/>
              </w:rPr>
            </w:pPr>
          </w:p>
          <w:p w14:paraId="385CD21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BF57C00"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3A2E131" w14:textId="77777777" w:rsidR="00D85864" w:rsidRPr="00020852" w:rsidRDefault="00D85864" w:rsidP="00CB4C47">
            <w:pPr>
              <w:spacing w:afterLines="0" w:after="0"/>
              <w:rPr>
                <w:rFonts w:ascii="Times New Roman" w:hAnsi="Times New Roman" w:cs="Times New Roman"/>
                <w:sz w:val="20"/>
                <w:szCs w:val="20"/>
              </w:rPr>
            </w:pPr>
          </w:p>
          <w:p w14:paraId="4AA602CC"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DC6187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3A5443B" w14:textId="6E319F6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161BEF67" w14:textId="77777777" w:rsidTr="000A7FAF">
        <w:trPr>
          <w:cantSplit/>
        </w:trPr>
        <w:tc>
          <w:tcPr>
            <w:tcW w:w="3415" w:type="dxa"/>
            <w:vAlign w:val="center"/>
          </w:tcPr>
          <w:p w14:paraId="52526CD9" w14:textId="77777777" w:rsidR="00D85864" w:rsidRPr="00020852" w:rsidRDefault="00D85864" w:rsidP="00CB4C47">
            <w:pPr>
              <w:spacing w:afterLines="0" w:after="0"/>
              <w:rPr>
                <w:rFonts w:ascii="Times New Roman" w:hAnsi="Times New Roman" w:cs="Times New Roman"/>
                <w:sz w:val="20"/>
                <w:szCs w:val="20"/>
              </w:rPr>
            </w:pPr>
          </w:p>
          <w:p w14:paraId="3F26A0A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7EE7FCF"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3AA112D" w14:textId="77777777" w:rsidR="00D85864" w:rsidRPr="00020852" w:rsidRDefault="00D85864" w:rsidP="00CB4C47">
            <w:pPr>
              <w:spacing w:afterLines="0" w:after="0"/>
              <w:rPr>
                <w:rFonts w:ascii="Times New Roman" w:hAnsi="Times New Roman" w:cs="Times New Roman"/>
                <w:sz w:val="20"/>
                <w:szCs w:val="20"/>
              </w:rPr>
            </w:pPr>
          </w:p>
          <w:p w14:paraId="4E61B12E"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14D716A4"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A8C5EC2" w14:textId="00BC48B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bl>
    <w:p w14:paraId="20AAD515" w14:textId="448AD32F" w:rsidR="007B010C" w:rsidRDefault="007B010C" w:rsidP="004F5196">
      <w:pPr>
        <w:spacing w:after="264"/>
        <w:rPr>
          <w:rStyle w:val="property1"/>
          <w:rFonts w:eastAsia="Times New Roman" w:cs="Times New Roman"/>
          <w:szCs w:val="24"/>
        </w:rPr>
      </w:pPr>
    </w:p>
    <w:p w14:paraId="1CD48BEA" w14:textId="7C444EF4" w:rsidR="00731403" w:rsidRPr="00020852" w:rsidRDefault="00731403" w:rsidP="00731403">
      <w:pPr>
        <w:pStyle w:val="NormalEnd"/>
        <w:rPr>
          <w:rStyle w:val="property1"/>
          <w:rFonts w:eastAsia="Times New Roman"/>
        </w:rPr>
      </w:pPr>
      <w:r>
        <w:rPr>
          <w:rStyle w:val="property1"/>
          <w:color w:val="auto"/>
        </w:rPr>
        <w:t>The table above</w:t>
      </w:r>
      <w:r w:rsidRPr="0086219A">
        <w:rPr>
          <w:rStyle w:val="property1"/>
          <w:color w:val="auto"/>
        </w:rPr>
        <w:t xml:space="preserve"> may be amended from time to time </w:t>
      </w:r>
      <w:r>
        <w:rPr>
          <w:rStyle w:val="property1"/>
          <w:color w:val="auto"/>
        </w:rPr>
        <w:t xml:space="preserve">as new information comes to light. </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581A95B" w14:textId="40CAF99D" w:rsidR="009762AF" w:rsidRPr="00020852" w:rsidRDefault="009762AF" w:rsidP="00EA2883">
      <w:pPr>
        <w:pStyle w:val="Heading2"/>
        <w:rPr>
          <w:sz w:val="24"/>
          <w:szCs w:val="24"/>
        </w:rPr>
      </w:pPr>
      <w:r w:rsidRPr="00020852">
        <w:fldChar w:fldCharType="begin"/>
      </w:r>
      <w:r w:rsidRPr="00020852">
        <w:instrText xml:space="preserve"> LISTNUM LegalDefault \l 2 </w:instrText>
      </w:r>
      <w:bookmarkStart w:id="26" w:name="_Toc130368706"/>
      <w:r w:rsidRPr="00020852">
        <w:fldChar w:fldCharType="end"/>
      </w:r>
      <w:r w:rsidR="007214CC">
        <w:br/>
      </w:r>
      <w:r w:rsidRPr="00020852">
        <w:t>Breach of Contract</w:t>
      </w:r>
      <w:bookmarkEnd w:id="26"/>
    </w:p>
    <w:p w14:paraId="21D253E1" w14:textId="3B25608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Contract</w:t>
      </w:r>
    </w:p>
    <w:p w14:paraId="26799D63"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essential elements of a claim of breach of contract, whether express or implied, are the contract, plaintiff’s performance or excuse for non-performance, defendant’s breach, and the resulting damages to plaintiff.” (</w:t>
      </w:r>
      <w:proofErr w:type="spellStart"/>
      <w:r w:rsidRPr="00020852">
        <w:rPr>
          <w:rFonts w:cs="Times New Roman"/>
          <w:bCs/>
          <w:i/>
          <w:iCs/>
          <w:szCs w:val="24"/>
        </w:rPr>
        <w:t>Darbun</w:t>
      </w:r>
      <w:proofErr w:type="spellEnd"/>
      <w:r w:rsidRPr="00020852">
        <w:rPr>
          <w:rFonts w:cs="Times New Roman"/>
          <w:bCs/>
          <w:i/>
          <w:iCs/>
          <w:szCs w:val="24"/>
        </w:rPr>
        <w:t xml:space="preserve"> Enterprises Inc. v. San Fernando Community Hosp.</w:t>
      </w:r>
      <w:r w:rsidRPr="00020852">
        <w:rPr>
          <w:rFonts w:cs="Times New Roman"/>
          <w:bCs/>
          <w:szCs w:val="24"/>
        </w:rPr>
        <w:t xml:space="preserve"> (2015) 239 Cal.App.4th 399, 409; </w:t>
      </w:r>
      <w:r w:rsidRPr="00020852">
        <w:rPr>
          <w:rFonts w:cs="Times New Roman"/>
          <w:bCs/>
          <w:i/>
          <w:iCs/>
          <w:szCs w:val="24"/>
        </w:rPr>
        <w:t>San Mateo Union High School Dist. v. County of San Mateo</w:t>
      </w:r>
      <w:r w:rsidRPr="00020852">
        <w:rPr>
          <w:rFonts w:cs="Times New Roman"/>
          <w:bCs/>
          <w:szCs w:val="24"/>
        </w:rPr>
        <w:t xml:space="preserve"> (2013) 213 Cal.App.4th 418, 439.)</w:t>
      </w:r>
    </w:p>
    <w:p w14:paraId="31320D2A"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9F7F7E4" w14:textId="58880815" w:rsidR="00D14100" w:rsidRPr="00020852" w:rsidRDefault="009762AF" w:rsidP="00136DD5">
      <w:pPr>
        <w:spacing w:after="264"/>
        <w:ind w:left="1080" w:hanging="360"/>
        <w:rPr>
          <w:rFonts w:cs="Times New Roman"/>
          <w:bCs/>
          <w:szCs w:val="24"/>
        </w:rPr>
      </w:pPr>
      <w:r w:rsidRPr="00020852">
        <w:rPr>
          <w:rFonts w:cs="Times New Roman"/>
          <w:bCs/>
          <w:szCs w:val="24"/>
        </w:rPr>
        <w:t xml:space="preserve">—  Compensatory (money) damages are available for all expected harm caused by the breach. (Civ. Code, § 3300.) In other words, damages must be reasonably foreseeable. (Civ. Code, § 3300; </w:t>
      </w:r>
      <w:r w:rsidRPr="00020852">
        <w:rPr>
          <w:rFonts w:cs="Times New Roman"/>
          <w:bCs/>
          <w:i/>
          <w:iCs/>
          <w:szCs w:val="24"/>
        </w:rPr>
        <w:t>Erlich v. Menezes</w:t>
      </w:r>
      <w:r w:rsidRPr="00020852">
        <w:rPr>
          <w:rFonts w:cs="Times New Roman"/>
          <w:bCs/>
          <w:szCs w:val="24"/>
        </w:rPr>
        <w:t xml:space="preserve"> (1999) 21 Cal.4th 543.)</w:t>
      </w:r>
    </w:p>
    <w:p w14:paraId="0B2BEB16"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Emotional distress damages are generally </w:t>
      </w:r>
      <w:r w:rsidRPr="00020852">
        <w:rPr>
          <w:rFonts w:cs="Times New Roman"/>
          <w:bCs/>
          <w:i/>
          <w:iCs/>
          <w:szCs w:val="24"/>
        </w:rPr>
        <w:t>not</w:t>
      </w:r>
      <w:r w:rsidRPr="00020852">
        <w:rPr>
          <w:rFonts w:cs="Times New Roman"/>
          <w:bCs/>
          <w:szCs w:val="24"/>
        </w:rPr>
        <w:t xml:space="preserve"> available </w:t>
      </w:r>
      <w:r w:rsidRPr="00020852">
        <w:rPr>
          <w:rFonts w:cs="Times New Roman"/>
          <w:bCs/>
          <w:i/>
          <w:iCs/>
          <w:szCs w:val="24"/>
        </w:rPr>
        <w:t>unless</w:t>
      </w:r>
      <w:r w:rsidRPr="00020852">
        <w:rPr>
          <w:rFonts w:cs="Times New Roman"/>
          <w:bCs/>
          <w:szCs w:val="24"/>
        </w:rPr>
        <w:t xml:space="preserve"> the breach caused bodily harm or a serious emotional disturbance was a particularly likely result. (</w:t>
      </w:r>
      <w:r w:rsidRPr="00020852">
        <w:rPr>
          <w:rFonts w:cs="Times New Roman"/>
          <w:bCs/>
          <w:i/>
          <w:iCs/>
          <w:szCs w:val="24"/>
        </w:rPr>
        <w:t xml:space="preserve">Erlich v. </w:t>
      </w:r>
      <w:proofErr w:type="spellStart"/>
      <w:r w:rsidRPr="00020852">
        <w:rPr>
          <w:rFonts w:cs="Times New Roman"/>
          <w:bCs/>
          <w:i/>
          <w:iCs/>
          <w:szCs w:val="24"/>
        </w:rPr>
        <w:t>Menezesm</w:t>
      </w:r>
      <w:proofErr w:type="spellEnd"/>
      <w:r w:rsidRPr="00020852">
        <w:rPr>
          <w:rFonts w:cs="Times New Roman"/>
          <w:bCs/>
          <w:i/>
          <w:iCs/>
          <w:szCs w:val="24"/>
        </w:rPr>
        <w:t xml:space="preserve">, supra, </w:t>
      </w:r>
      <w:r w:rsidRPr="00020852">
        <w:rPr>
          <w:rFonts w:cs="Times New Roman"/>
          <w:bCs/>
          <w:szCs w:val="24"/>
        </w:rPr>
        <w:t xml:space="preserve">21 Cal.4th  at 558; </w:t>
      </w:r>
      <w:r w:rsidRPr="00020852">
        <w:rPr>
          <w:rFonts w:cs="Times New Roman"/>
          <w:bCs/>
          <w:i/>
          <w:iCs/>
          <w:szCs w:val="24"/>
        </w:rPr>
        <w:t xml:space="preserve">Plotnik v. </w:t>
      </w:r>
      <w:proofErr w:type="spellStart"/>
      <w:r w:rsidRPr="00020852">
        <w:rPr>
          <w:rFonts w:cs="Times New Roman"/>
          <w:bCs/>
          <w:i/>
          <w:iCs/>
          <w:szCs w:val="24"/>
        </w:rPr>
        <w:t>Meihous</w:t>
      </w:r>
      <w:proofErr w:type="spellEnd"/>
      <w:r w:rsidRPr="00020852">
        <w:rPr>
          <w:rFonts w:cs="Times New Roman"/>
          <w:bCs/>
          <w:szCs w:val="24"/>
        </w:rPr>
        <w:t xml:space="preserve"> (2012) 208 Cal.App.4th 1950 [breach of settlement agreement by hitting dog with baseball bat].)</w:t>
      </w:r>
    </w:p>
    <w:p w14:paraId="59359712"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Specific performance is an available remedy for breach if the non-breaching party desires to affirm the contract. (Civ. Code, § 1680; </w:t>
      </w:r>
      <w:r w:rsidRPr="00020852">
        <w:rPr>
          <w:rFonts w:cs="Times New Roman"/>
          <w:bCs/>
          <w:i/>
          <w:iCs/>
          <w:szCs w:val="24"/>
        </w:rPr>
        <w:t>Kassir v. Zahabi</w:t>
      </w:r>
      <w:r w:rsidRPr="00020852">
        <w:rPr>
          <w:rFonts w:cs="Times New Roman"/>
          <w:bCs/>
          <w:szCs w:val="24"/>
        </w:rPr>
        <w:t xml:space="preserve"> (2008) 164 Cal.App.4th 1352.)</w:t>
      </w:r>
    </w:p>
    <w:p w14:paraId="065F2027" w14:textId="77777777" w:rsidR="009762AF" w:rsidRPr="00020852" w:rsidRDefault="009762AF" w:rsidP="009762AF">
      <w:pPr>
        <w:spacing w:after="264"/>
        <w:ind w:left="1080" w:hanging="360"/>
        <w:rPr>
          <w:rFonts w:cs="Times New Roman"/>
          <w:bCs/>
          <w:szCs w:val="24"/>
        </w:rPr>
      </w:pPr>
      <w:r w:rsidRPr="00020852">
        <w:rPr>
          <w:rFonts w:cs="Times New Roman"/>
          <w:bCs/>
          <w:szCs w:val="24"/>
        </w:rPr>
        <w:lastRenderedPageBreak/>
        <w:t>—  Rescission (accompanied by restitution) is available in certain circumstances. (Civ. Code, § 1692.) Mutual rescission is available if all parties consent. (Civ. Code, § 1689(a).) Unilateral rescission is available by statute for mistake, fraud, duress, undue influence, failure of or void consideration, or if the contract is unlawful or against public policy. (Civ. Code, § 1689(b).)</w:t>
      </w:r>
    </w:p>
    <w:p w14:paraId="4AAC4372"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FEED6E5" w14:textId="77777777" w:rsidR="009762AF" w:rsidRPr="00020852"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7D25ABA" w14:textId="77777777" w:rsidR="009762AF" w:rsidRPr="00020852" w:rsidRDefault="009762AF" w:rsidP="009762AF">
      <w:pPr>
        <w:spacing w:after="264"/>
        <w:ind w:left="1080" w:hanging="360"/>
        <w:rPr>
          <w:rFonts w:cs="Times New Roman"/>
          <w:bCs/>
          <w:szCs w:val="24"/>
        </w:rPr>
      </w:pPr>
      <w:r w:rsidRPr="00020852">
        <w:rPr>
          <w:rFonts w:cs="Times New Roman"/>
          <w:bCs/>
          <w:szCs w:val="24"/>
        </w:rPr>
        <w:t>—  For breach of verbal contracts, the statute of limitations is two years. (Code Civ. Proc., § 339.)</w:t>
      </w:r>
    </w:p>
    <w:p w14:paraId="2424BB73"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For breach of </w:t>
      </w:r>
      <w:r w:rsidRPr="00020852">
        <w:rPr>
          <w:rFonts w:cs="Times New Roman"/>
          <w:bCs/>
          <w:i/>
          <w:iCs/>
          <w:szCs w:val="24"/>
        </w:rPr>
        <w:t>most</w:t>
      </w:r>
      <w:r w:rsidRPr="00020852">
        <w:rPr>
          <w:rFonts w:cs="Times New Roman"/>
          <w:bCs/>
          <w:szCs w:val="24"/>
        </w:rPr>
        <w:t xml:space="preserve"> written contracts, the statute of limitations is four years. (Code Civ. Proc., § 337.)</w:t>
      </w:r>
    </w:p>
    <w:p w14:paraId="6C16A11C" w14:textId="77777777" w:rsidR="009762AF" w:rsidRPr="00020852" w:rsidRDefault="009762AF" w:rsidP="009762AF">
      <w:pPr>
        <w:spacing w:after="264"/>
        <w:ind w:left="1080" w:hanging="360"/>
        <w:rPr>
          <w:rFonts w:cs="Times New Roman"/>
          <w:bCs/>
          <w:szCs w:val="24"/>
          <w:u w:val="single"/>
        </w:rPr>
      </w:pPr>
      <w:r w:rsidRPr="00020852">
        <w:rPr>
          <w:rFonts w:cs="Times New Roman"/>
          <w:bCs/>
          <w:szCs w:val="24"/>
        </w:rPr>
        <w:t xml:space="preserve">—  For breach of </w:t>
      </w:r>
      <w:r w:rsidRPr="00020852">
        <w:rPr>
          <w:rFonts w:cs="Times New Roman"/>
          <w:bCs/>
          <w:i/>
          <w:iCs/>
          <w:szCs w:val="24"/>
        </w:rPr>
        <w:t>negotiable instruments</w:t>
      </w:r>
      <w:r w:rsidRPr="00020852">
        <w:rPr>
          <w:rFonts w:cs="Times New Roman"/>
          <w:bCs/>
          <w:szCs w:val="24"/>
        </w:rPr>
        <w:t xml:space="preserve"> (e.g., promissory notes), the statute of limitations is six years. (Comm. Code, § 3118.)</w:t>
      </w:r>
    </w:p>
    <w:p w14:paraId="2AFB3A94" w14:textId="11BFDA91"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611A27A" w14:textId="4F0FADD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contract</w:t>
      </w:r>
      <w:r w:rsidRPr="00020852">
        <w:rPr>
          <w:rFonts w:cs="Times New Roman"/>
          <w:bCs/>
          <w:szCs w:val="24"/>
          <w:highlight w:val="green"/>
        </w:rPr>
        <w:t xml:space="preserve">. If one or more provisions of the CC&amp;Rs is/are relevant, you should cite to that/those provision(s) here (no need to quote or provide a snip). </w:t>
      </w:r>
    </w:p>
    <w:p w14:paraId="59C9C61D"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2F5DC92B"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309E6F52" w14:textId="525A99B6"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1416DA6" w14:textId="48CCB00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B3DE683" w14:textId="6C9D3B52"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TBD</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D580355" w14:textId="77777777" w:rsidR="00745226" w:rsidRDefault="008C67F5" w:rsidP="00EA2883">
      <w:pPr>
        <w:pStyle w:val="Heading2"/>
      </w:pPr>
      <w:r w:rsidRPr="00020852">
        <w:fldChar w:fldCharType="begin"/>
      </w:r>
      <w:r w:rsidRPr="00020852">
        <w:instrText xml:space="preserve"> LISTNUM LegalDefault \l 2 </w:instrText>
      </w:r>
      <w:bookmarkStart w:id="45" w:name="_Toc130368715"/>
      <w:r w:rsidRPr="00020852">
        <w:fldChar w:fldCharType="end"/>
      </w:r>
      <w:r w:rsidR="00CA5593">
        <w:br/>
      </w:r>
      <w:r w:rsidRPr="00020852">
        <w:t>Intentional Misrepresentation (Fraud)</w:t>
      </w:r>
      <w:bookmarkEnd w:id="45"/>
    </w:p>
    <w:p w14:paraId="40CCE03B" w14:textId="5ADA3710"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—Intentional Misrepresentation (and fraud)</w:t>
      </w:r>
    </w:p>
    <w:p w14:paraId="6DE1CBEF" w14:textId="77777777" w:rsidR="00745226" w:rsidRDefault="008C67F5" w:rsidP="008C67F5">
      <w:pPr>
        <w:spacing w:after="264"/>
        <w:ind w:left="1080" w:hanging="360"/>
        <w:rPr>
          <w:rFonts w:cs="Times New Roman"/>
          <w:bCs/>
          <w:szCs w:val="24"/>
        </w:rPr>
      </w:pPr>
      <w:r w:rsidRPr="00020852">
        <w:rPr>
          <w:rFonts w:cs="Times New Roman"/>
          <w:bCs/>
          <w:szCs w:val="24"/>
        </w:rPr>
        <w:t>—  The elements of a cause of action for intentional misrepresentation are: (i) a misrepresentation; (ii) made with knowledge of its falsity;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Chapman v. Skype Inc.</w:t>
      </w:r>
      <w:r w:rsidRPr="00020852">
        <w:rPr>
          <w:rFonts w:cs="Times New Roman"/>
          <w:bCs/>
          <w:szCs w:val="24"/>
        </w:rPr>
        <w:t xml:space="preserve"> (2013) 220 Cal.App.4th 217, 230-231.) </w:t>
      </w:r>
    </w:p>
    <w:p w14:paraId="26706B77" w14:textId="77777777" w:rsidR="00745226" w:rsidRDefault="008C67F5" w:rsidP="008C67F5">
      <w:pPr>
        <w:spacing w:after="264"/>
        <w:ind w:left="1350" w:hanging="270"/>
        <w:rPr>
          <w:rFonts w:cs="Times New Roman"/>
          <w:bCs/>
          <w:szCs w:val="24"/>
        </w:rPr>
      </w:pPr>
      <w:r w:rsidRPr="00020852">
        <w:rPr>
          <w:rFonts w:cs="Times New Roman"/>
          <w:bCs/>
          <w:szCs w:val="24"/>
        </w:rPr>
        <w:t>•   A false representation is the suggestion, as a fact, of something untrue by one who does not believe it to be true. (Civ. Code, § 1710(1).) In general, the statement must be of a past or present fact, not opinion, estimates or speculation. (</w:t>
      </w:r>
      <w:r w:rsidRPr="00020852">
        <w:rPr>
          <w:rFonts w:cs="Times New Roman"/>
          <w:bCs/>
          <w:i/>
          <w:iCs/>
          <w:szCs w:val="24"/>
        </w:rPr>
        <w:t>Neu-Visions Sports Inc. v. Soren/McAdam/Bartells</w:t>
      </w:r>
      <w:r w:rsidRPr="00020852">
        <w:rPr>
          <w:rFonts w:cs="Times New Roman"/>
          <w:bCs/>
          <w:szCs w:val="24"/>
        </w:rPr>
        <w:t xml:space="preserve"> (2000) 86 Cal.App.4th 303, 308-310.)</w:t>
      </w:r>
    </w:p>
    <w:p w14:paraId="02B1D9E6"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of an action for fraud and deceit based on a concealment are: (i) the defendant must have concealed or suppressed a material fact; (ii) the defendant must have been under a duty to disclose the fact to the plaintiff; (iii) the defendant must have intentionally concealed or suppressed the fact with the intent to defraud the plaintiff; (iv) the plaintiff must have been unaware of the fact and would not have acted as he did if he had known of the concealed or suppressed fact; (v) as a </w:t>
      </w:r>
      <w:r w:rsidRPr="00020852">
        <w:rPr>
          <w:rFonts w:cs="Times New Roman"/>
          <w:bCs/>
          <w:szCs w:val="24"/>
        </w:rPr>
        <w:lastRenderedPageBreak/>
        <w:t>result of the concealment or suppression of the fact, the plaintiff must have sustained damage. (</w:t>
      </w:r>
      <w:r w:rsidRPr="00020852">
        <w:rPr>
          <w:rFonts w:cs="Times New Roman"/>
          <w:bCs/>
          <w:i/>
          <w:iCs/>
          <w:szCs w:val="24"/>
        </w:rPr>
        <w:t>Marketing West Inc. v. Sanyo Fisher (USA) Corp.</w:t>
      </w:r>
      <w:r w:rsidRPr="00020852">
        <w:rPr>
          <w:rFonts w:cs="Times New Roman"/>
          <w:bCs/>
          <w:szCs w:val="24"/>
        </w:rPr>
        <w:t xml:space="preserve"> (1992) 6 Cal. App.4th 603, 612-613.)</w:t>
      </w:r>
    </w:p>
    <w:p w14:paraId="4F2E5047" w14:textId="77777777" w:rsidR="00745226" w:rsidRDefault="008C67F5" w:rsidP="008C67F5">
      <w:pPr>
        <w:spacing w:after="264"/>
        <w:ind w:left="1080" w:hanging="360"/>
        <w:rPr>
          <w:rFonts w:cs="Times New Roman"/>
          <w:bCs/>
          <w:szCs w:val="24"/>
        </w:rPr>
      </w:pPr>
      <w:r w:rsidRPr="00020852">
        <w:rPr>
          <w:rFonts w:cs="Times New Roman"/>
          <w:bCs/>
          <w:szCs w:val="24"/>
        </w:rPr>
        <w:t xml:space="preserve">—  A promise made without intending to fulfill it—i.e., “promissory fraud”—is also actionable as fraud. In this situation, the “fact” being misrepresented is the speaker’s present intention to perform. (Civ. Code, § 1710(4); </w:t>
      </w:r>
      <w:proofErr w:type="spellStart"/>
      <w:r w:rsidRPr="00020852">
        <w:rPr>
          <w:rFonts w:cs="Times New Roman"/>
          <w:bCs/>
          <w:i/>
          <w:iCs/>
          <w:szCs w:val="24"/>
        </w:rPr>
        <w:t>Engalla</w:t>
      </w:r>
      <w:proofErr w:type="spellEnd"/>
      <w:r w:rsidRPr="00020852">
        <w:rPr>
          <w:rFonts w:cs="Times New Roman"/>
          <w:bCs/>
          <w:i/>
          <w:iCs/>
          <w:szCs w:val="24"/>
        </w:rPr>
        <w:t xml:space="preserve"> v. Permanente Med. Group Inc.</w:t>
      </w:r>
      <w:r w:rsidRPr="00020852">
        <w:rPr>
          <w:rFonts w:cs="Times New Roman"/>
          <w:bCs/>
          <w:szCs w:val="24"/>
        </w:rPr>
        <w:t xml:space="preserve"> (1997) 15 Cal.4th 951, 973 [a promise to do something necessarily implies the intention to perform; hence, where a promise is made without such intention, there is an implied misrepresentation of fact that may be actionable fraud].)</w:t>
      </w:r>
    </w:p>
    <w:p w14:paraId="7A1023E2" w14:textId="77777777" w:rsidR="00745226" w:rsidRDefault="008C67F5" w:rsidP="008C67F5">
      <w:pPr>
        <w:spacing w:after="264"/>
        <w:ind w:left="1080" w:hanging="360"/>
        <w:rPr>
          <w:rFonts w:cs="Times New Roman"/>
          <w:bCs/>
          <w:szCs w:val="24"/>
        </w:rPr>
      </w:pPr>
      <w:r w:rsidRPr="00020852">
        <w:rPr>
          <w:rFonts w:cs="Times New Roman"/>
          <w:bCs/>
          <w:szCs w:val="24"/>
        </w:rPr>
        <w:t>—  Defendant must know the statement is false or act with reckless disregard of its truth or falsity. (</w:t>
      </w:r>
      <w:r w:rsidRPr="00020852">
        <w:rPr>
          <w:rFonts w:cs="Times New Roman"/>
          <w:bCs/>
          <w:i/>
          <w:iCs/>
          <w:szCs w:val="24"/>
        </w:rPr>
        <w:t>Lazar v. Sup.Ct. (Rykoff- Sexton Inc.)</w:t>
      </w:r>
      <w:r w:rsidRPr="00020852">
        <w:rPr>
          <w:rFonts w:cs="Times New Roman"/>
          <w:bCs/>
          <w:szCs w:val="24"/>
        </w:rPr>
        <w:t xml:space="preserve"> (1996) 12 Cal.4th 631, 638; </w:t>
      </w:r>
      <w:r w:rsidRPr="00020852">
        <w:rPr>
          <w:rFonts w:cs="Times New Roman"/>
          <w:bCs/>
          <w:i/>
          <w:iCs/>
          <w:szCs w:val="24"/>
        </w:rPr>
        <w:t>Bily v. Arthur Young &amp; Co.</w:t>
      </w:r>
      <w:r w:rsidRPr="00020852">
        <w:rPr>
          <w:rFonts w:cs="Times New Roman"/>
          <w:bCs/>
          <w:szCs w:val="24"/>
        </w:rPr>
        <w:t xml:space="preserve"> (1992) 3 Cal.4th 370, 415 [scienter requirement satisfied if defendant has no belief in truth of statement and makes it recklessly, without knowing whether it is true or false].)</w:t>
      </w:r>
    </w:p>
    <w:p w14:paraId="4EFA130C"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1709—“One who willfully deceives another with intent to induce him to alter his position to his injury or risk, is liable for any damage which he thereby suffers.”</w:t>
      </w:r>
    </w:p>
    <w:p w14:paraId="6A8D5928" w14:textId="77777777" w:rsidR="00745226" w:rsidRDefault="008C67F5" w:rsidP="008C67F5">
      <w:pPr>
        <w:spacing w:after="264"/>
        <w:ind w:left="1350" w:hanging="270"/>
        <w:rPr>
          <w:rFonts w:cs="Times New Roman"/>
          <w:bCs/>
          <w:szCs w:val="24"/>
        </w:rPr>
      </w:pPr>
      <w:r w:rsidRPr="00020852">
        <w:rPr>
          <w:rFonts w:cs="Times New Roman"/>
          <w:bCs/>
          <w:szCs w:val="24"/>
        </w:rPr>
        <w:t xml:space="preserve">•   Defendant must intend to induce the other party to act in reliance on the false information. (Civ. Code, § 1709; </w:t>
      </w:r>
      <w:r w:rsidRPr="00020852">
        <w:rPr>
          <w:rFonts w:cs="Times New Roman"/>
          <w:bCs/>
          <w:i/>
          <w:iCs/>
          <w:szCs w:val="24"/>
        </w:rPr>
        <w:t>City of Atascadero v. Merrill Lynch, Pierce, Fenner &amp; Smith Inc.</w:t>
      </w:r>
      <w:r w:rsidRPr="00020852">
        <w:rPr>
          <w:rFonts w:cs="Times New Roman"/>
          <w:bCs/>
          <w:szCs w:val="24"/>
        </w:rPr>
        <w:t xml:space="preserve"> (1998) 68 Cal.App.4th 445, 481.)</w:t>
      </w:r>
    </w:p>
    <w:p w14:paraId="2931B5FC" w14:textId="77777777" w:rsidR="00745226" w:rsidRDefault="008C67F5" w:rsidP="008C67F5">
      <w:pPr>
        <w:spacing w:after="264"/>
        <w:ind w:left="1350" w:hanging="270"/>
        <w:rPr>
          <w:rFonts w:cs="Times New Roman"/>
          <w:bCs/>
          <w:szCs w:val="24"/>
        </w:rPr>
      </w:pPr>
      <w:r w:rsidRPr="00020852">
        <w:rPr>
          <w:rFonts w:cs="Times New Roman"/>
          <w:bCs/>
          <w:szCs w:val="24"/>
        </w:rPr>
        <w:t>•   Although Civil Code section 1709 does not list “reliance” as a required element of deceit, plaintiff must plead and prove that he or she actually and justifiably relied on defendant’s misrepresentation. (</w:t>
      </w:r>
      <w:r w:rsidRPr="00020852">
        <w:rPr>
          <w:rFonts w:cs="Times New Roman"/>
          <w:bCs/>
          <w:i/>
          <w:iCs/>
          <w:szCs w:val="24"/>
        </w:rPr>
        <w:t>Mirkin v. Wasserman</w:t>
      </w:r>
      <w:r w:rsidRPr="00020852">
        <w:rPr>
          <w:rFonts w:cs="Times New Roman"/>
          <w:bCs/>
          <w:szCs w:val="24"/>
        </w:rPr>
        <w:t xml:space="preserve"> (1993) 5 Cal.4th 1082, 1091.) </w:t>
      </w:r>
    </w:p>
    <w:p w14:paraId="13BD016D"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1710—Defines deceit (as used in § 1709), and includes three different types of deceit, including a promise made without any intention of performing (see above). Actual reliance is a component of “justifiable reliance.” (</w:t>
      </w:r>
      <w:r w:rsidRPr="00020852">
        <w:rPr>
          <w:rFonts w:cs="Times New Roman"/>
          <w:bCs/>
          <w:i/>
          <w:iCs/>
          <w:szCs w:val="24"/>
        </w:rPr>
        <w:t>Garcia v. Superior Court</w:t>
      </w:r>
      <w:r w:rsidRPr="00020852">
        <w:rPr>
          <w:rFonts w:cs="Times New Roman"/>
          <w:bCs/>
          <w:szCs w:val="24"/>
        </w:rPr>
        <w:t xml:space="preserve"> (1990) 50 Cal.3d 728, 737.) A plaintiff must have been justified in believing defendant’s statements. (</w:t>
      </w:r>
      <w:r w:rsidRPr="00020852">
        <w:rPr>
          <w:rFonts w:cs="Times New Roman"/>
          <w:bCs/>
          <w:i/>
          <w:iCs/>
          <w:szCs w:val="24"/>
        </w:rPr>
        <w:t>Gray v. Don Miller &amp; Assocs. Inc.</w:t>
      </w:r>
      <w:r w:rsidRPr="00020852">
        <w:rPr>
          <w:rFonts w:cs="Times New Roman"/>
          <w:bCs/>
          <w:szCs w:val="24"/>
        </w:rPr>
        <w:t xml:space="preserve"> (1984) 35 Cal.3d 498, 503.) Actual reliance is shown if the misrepresentation substantially influences plaintiff’s decision to act. (</w:t>
      </w:r>
      <w:r w:rsidRPr="00020852">
        <w:rPr>
          <w:rFonts w:cs="Times New Roman"/>
          <w:bCs/>
          <w:i/>
          <w:iCs/>
          <w:szCs w:val="24"/>
        </w:rPr>
        <w:t>Whiteley v. Philip Morris Inc.</w:t>
      </w:r>
      <w:r w:rsidRPr="00020852">
        <w:rPr>
          <w:rFonts w:cs="Times New Roman"/>
          <w:bCs/>
          <w:szCs w:val="24"/>
        </w:rPr>
        <w:t xml:space="preserve"> (2004) 117 Cal.App.4th 635, 678.) A plaintiff who does not believe the representations made to him or her cannot establish actual reliance. (</w:t>
      </w:r>
      <w:r w:rsidRPr="00020852">
        <w:rPr>
          <w:rFonts w:cs="Times New Roman"/>
          <w:bCs/>
          <w:i/>
          <w:iCs/>
          <w:szCs w:val="24"/>
        </w:rPr>
        <w:t>Buckland v. Threshold Enterprises Ltd.</w:t>
      </w:r>
      <w:r w:rsidRPr="00020852">
        <w:rPr>
          <w:rFonts w:cs="Times New Roman"/>
          <w:bCs/>
          <w:szCs w:val="24"/>
        </w:rPr>
        <w:t xml:space="preserve"> (2007) 155 Cal.App.4th 798, 806-808.)</w:t>
      </w:r>
    </w:p>
    <w:p w14:paraId="0E875C62" w14:textId="77777777" w:rsidR="00745226" w:rsidRDefault="008C67F5" w:rsidP="008C67F5">
      <w:pPr>
        <w:spacing w:after="264"/>
        <w:ind w:left="1080" w:hanging="360"/>
        <w:rPr>
          <w:rFonts w:cs="Times New Roman"/>
          <w:bCs/>
          <w:szCs w:val="24"/>
        </w:rPr>
      </w:pPr>
      <w:r w:rsidRPr="00020852">
        <w:rPr>
          <w:rFonts w:cs="Times New Roman"/>
          <w:bCs/>
          <w:szCs w:val="24"/>
        </w:rPr>
        <w:t>—  There are three considerations in determining reasonable reliance. First, the representation or promise must be material, as judged by a reasonable person standard. (</w:t>
      </w:r>
      <w:r w:rsidRPr="00020852">
        <w:rPr>
          <w:rFonts w:cs="Times New Roman"/>
          <w:bCs/>
          <w:i/>
          <w:iCs/>
          <w:szCs w:val="24"/>
        </w:rPr>
        <w:t>Charpentier v. Los Angeles Rams (1999) 75 Cal.App.4th 301, 312–313</w:t>
      </w:r>
      <w:r w:rsidRPr="00020852">
        <w:rPr>
          <w:rFonts w:cs="Times New Roman"/>
          <w:bCs/>
          <w:szCs w:val="24"/>
        </w:rPr>
        <w:t>.) Second, if the matter is material, reasonableness must take into account the plaintiff’s own knowledge, education, and experience; the objective reasonable person is irrelevant at this step. Third, some matters are simply too preposterous to be believed by anyone, notwithstanding limited knowledge, education, and experience. (</w:t>
      </w:r>
      <w:r w:rsidRPr="00020852">
        <w:rPr>
          <w:rFonts w:cs="Times New Roman"/>
          <w:bCs/>
          <w:i/>
          <w:iCs/>
          <w:szCs w:val="24"/>
        </w:rPr>
        <w:t>Blankenheim v. E. F. Hutton, Co. Inc.</w:t>
      </w:r>
      <w:r w:rsidRPr="00020852">
        <w:rPr>
          <w:rFonts w:cs="Times New Roman"/>
          <w:bCs/>
          <w:szCs w:val="24"/>
        </w:rPr>
        <w:t xml:space="preserve"> (1990) 217 Cal.App.3d 1463, 1474.)</w:t>
      </w:r>
    </w:p>
    <w:p w14:paraId="032F5E2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Forbearance can constitute reliance if plaintiff decided not to do something based on the misrepresentations. (</w:t>
      </w:r>
      <w:r w:rsidRPr="00020852">
        <w:rPr>
          <w:rFonts w:cs="Times New Roman"/>
          <w:bCs/>
          <w:i/>
          <w:iCs/>
          <w:szCs w:val="24"/>
        </w:rPr>
        <w:t>Small v. Frist Cos. Inc.</w:t>
      </w:r>
      <w:r w:rsidRPr="00020852">
        <w:rPr>
          <w:rFonts w:cs="Times New Roman"/>
          <w:bCs/>
          <w:szCs w:val="24"/>
        </w:rPr>
        <w:t xml:space="preserve"> (2003) 30 Cal.4th 167.)</w:t>
      </w:r>
    </w:p>
    <w:p w14:paraId="723121F1" w14:textId="77777777" w:rsidR="00745226" w:rsidRDefault="008C67F5" w:rsidP="008C67F5">
      <w:pPr>
        <w:spacing w:after="264"/>
        <w:ind w:left="1080" w:hanging="360"/>
        <w:rPr>
          <w:rFonts w:cs="Times New Roman"/>
          <w:bCs/>
          <w:szCs w:val="24"/>
        </w:rPr>
      </w:pPr>
      <w:r w:rsidRPr="00020852">
        <w:rPr>
          <w:rFonts w:cs="Times New Roman"/>
          <w:bCs/>
          <w:szCs w:val="24"/>
        </w:rPr>
        <w:t>—  While the standard to determine the reasonableness of the reliance is subjective (i.e., the “reasonable person” standard doesn’t typically apply, and thus being gullible is often not a bar to establishing reliance)—</w:t>
      </w:r>
      <w:r w:rsidRPr="00020852">
        <w:rPr>
          <w:rFonts w:cs="Times New Roman"/>
          <w:bCs/>
          <w:i/>
          <w:iCs/>
          <w:szCs w:val="24"/>
        </w:rPr>
        <w:t>Brownlee v. Vang</w:t>
      </w:r>
      <w:r w:rsidRPr="00020852">
        <w:rPr>
          <w:rFonts w:cs="Times New Roman"/>
          <w:bCs/>
          <w:szCs w:val="24"/>
        </w:rPr>
        <w:t xml:space="preserve"> (1965) 235 Cal.App.2d 465—there is a limit to that subjective standard. A plaintiff cannot rely on representations that are so preposterous and “so patently and obviously false that he must have closed his eyes to avoid discovery of the truth.” (</w:t>
      </w:r>
      <w:r w:rsidRPr="00020852">
        <w:rPr>
          <w:rFonts w:cs="Times New Roman"/>
          <w:bCs/>
          <w:i/>
          <w:iCs/>
          <w:szCs w:val="24"/>
        </w:rPr>
        <w:t>Blankenheim v. E.F. Hutton &amp; Co. Inc.</w:t>
      </w:r>
      <w:r w:rsidRPr="00020852">
        <w:rPr>
          <w:rFonts w:cs="Times New Roman"/>
          <w:bCs/>
          <w:szCs w:val="24"/>
        </w:rPr>
        <w:t xml:space="preserve"> (1990) 217 Cal.App.3d 1463, 1474.)</w:t>
      </w:r>
    </w:p>
    <w:p w14:paraId="4EB8C3E7" w14:textId="77777777" w:rsidR="00745226" w:rsidRDefault="008C67F5" w:rsidP="008C67F5">
      <w:pPr>
        <w:spacing w:after="264"/>
        <w:ind w:left="1080" w:hanging="360"/>
        <w:rPr>
          <w:rFonts w:cs="Times New Roman"/>
          <w:bCs/>
          <w:szCs w:val="24"/>
        </w:rPr>
      </w:pPr>
      <w:r w:rsidRPr="00020852">
        <w:rPr>
          <w:rFonts w:cs="Times New Roman"/>
          <w:bCs/>
          <w:szCs w:val="24"/>
        </w:rPr>
        <w:t>—  Plaintiff must plead and prove that defendant’s fraud was the cause of plaintiff’s injury (</w:t>
      </w:r>
      <w:r w:rsidRPr="00020852">
        <w:rPr>
          <w:rFonts w:cs="Times New Roman"/>
          <w:bCs/>
          <w:i/>
          <w:iCs/>
          <w:szCs w:val="24"/>
        </w:rPr>
        <w:t>Service by Medallion Inc. v. Clorox Co.</w:t>
      </w:r>
      <w:r w:rsidRPr="00020852">
        <w:rPr>
          <w:rFonts w:cs="Times New Roman"/>
          <w:bCs/>
          <w:szCs w:val="24"/>
        </w:rPr>
        <w:t xml:space="preserve"> (1996) 44 Cal.App.4th 1807, 1818) and that his or her damages were proximately caused by defendant’s tortious conduct (Civ. Code, §§ 1709, 3333, 3343; </w:t>
      </w:r>
      <w:proofErr w:type="spellStart"/>
      <w:r w:rsidRPr="00020852">
        <w:rPr>
          <w:rFonts w:cs="Times New Roman"/>
          <w:bCs/>
          <w:i/>
          <w:iCs/>
          <w:szCs w:val="24"/>
        </w:rPr>
        <w:t>Fladeboe</w:t>
      </w:r>
      <w:proofErr w:type="spellEnd"/>
      <w:r w:rsidRPr="00020852">
        <w:rPr>
          <w:rFonts w:cs="Times New Roman"/>
          <w:bCs/>
          <w:i/>
          <w:iCs/>
          <w:szCs w:val="24"/>
        </w:rPr>
        <w:t xml:space="preserve"> v. American Isuzu Motors Inc.</w:t>
      </w:r>
      <w:r w:rsidRPr="00020852">
        <w:rPr>
          <w:rFonts w:cs="Times New Roman"/>
          <w:bCs/>
          <w:szCs w:val="24"/>
        </w:rPr>
        <w:t xml:space="preserve"> (2007) 150 Cal.App.4th 42, 65-66.)</w:t>
      </w:r>
    </w:p>
    <w:p w14:paraId="3CB547A8"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37D2263" w14:textId="77777777" w:rsidR="00745226" w:rsidRDefault="008C67F5" w:rsidP="008C67F5">
      <w:pPr>
        <w:spacing w:after="264"/>
        <w:ind w:left="1080" w:hanging="360"/>
        <w:rPr>
          <w:rFonts w:cs="Times New Roman"/>
          <w:bCs/>
          <w:szCs w:val="24"/>
        </w:rPr>
      </w:pPr>
      <w:r w:rsidRPr="00020852">
        <w:rPr>
          <w:rFonts w:cs="Times New Roman"/>
          <w:bCs/>
          <w:szCs w:val="24"/>
        </w:rPr>
        <w:t>—  Different measures of compensatory (money) damages are available depending upon the nature of the claim. In general, for compensatory damages, defrauded plaintiffs are limited to the “out-of-pocket” measure of damages, which seeks to restore plaintiffs to the financial position they were in before the fraud occurred. Plaintiffs receive the difference in value between what they gave to defendant and what they received. (</w:t>
      </w:r>
      <w:r w:rsidRPr="00020852">
        <w:rPr>
          <w:rFonts w:cs="Times New Roman"/>
          <w:bCs/>
          <w:i/>
          <w:iCs/>
          <w:szCs w:val="24"/>
        </w:rPr>
        <w:t>Alliance Mortgage. Co. v. Rothwell</w:t>
      </w:r>
      <w:r w:rsidRPr="00020852">
        <w:rPr>
          <w:rFonts w:cs="Times New Roman"/>
          <w:bCs/>
          <w:szCs w:val="24"/>
        </w:rPr>
        <w:t xml:space="preserve"> (1995) 10 Cal.4th 1226 [damages include difference between value given and value received, plus consequential pecuniary loss caused by reliance on misrepresentation].)</w:t>
      </w:r>
    </w:p>
    <w:p w14:paraId="1AB6B63B"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claims involving the purchase, sale, or exchange of real property, Civil Code section 3343 governs. Essentially, the plaintiff is entitled to recover the difference between the actual value of that with which the defrauded person parted and the actual value of that which he or she received, together with any additional damages arising from the particular transaction, including any of the following: (i) amounts actually and reasonably expended in reliance upon the fraud; (ii) an amount that would compensate the defrauded party for loss of use and enjoyment of the property to the extent that any such loss was proximately caused by the fraud; and (iii) where the defrauded party was induced by reason of the fraud to sell or otherwise part with the property in question, an amount which would compensate him or her for profits or other gains that might reasonably have been earned by use of the property had he or she retained it. </w:t>
      </w:r>
    </w:p>
    <w:p w14:paraId="4D461953" w14:textId="77777777" w:rsidR="00745226" w:rsidRDefault="008C67F5" w:rsidP="008C67F5">
      <w:pPr>
        <w:spacing w:after="264"/>
        <w:ind w:left="1350" w:hanging="270"/>
        <w:rPr>
          <w:rFonts w:cs="Times New Roman"/>
          <w:bCs/>
          <w:szCs w:val="24"/>
        </w:rPr>
      </w:pPr>
      <w:r w:rsidRPr="00020852">
        <w:rPr>
          <w:rFonts w:cs="Times New Roman"/>
          <w:bCs/>
          <w:szCs w:val="24"/>
        </w:rPr>
        <w:t>•   Additional damages are available for lost profits if the plaintiff was tricked into selling an income property. (Civ. Code, § 3343(a)(4).)</w:t>
      </w:r>
    </w:p>
    <w:p w14:paraId="46E81142" w14:textId="77777777" w:rsidR="00745226" w:rsidRDefault="008C67F5" w:rsidP="008C67F5">
      <w:pPr>
        <w:spacing w:after="264"/>
        <w:ind w:left="1350" w:hanging="270"/>
        <w:rPr>
          <w:rFonts w:cs="Times New Roman"/>
          <w:bCs/>
          <w:szCs w:val="24"/>
        </w:rPr>
      </w:pPr>
      <w:r w:rsidRPr="00020852">
        <w:rPr>
          <w:rFonts w:cs="Times New Roman"/>
          <w:bCs/>
          <w:szCs w:val="24"/>
        </w:rPr>
        <w:t>•   The statute does not permit a plaintiff to recover the difference between the value of the property as represented and the actual value of the property, nor does it prevent the plaintiff to obtaining equitable remedies he or she might also be entitled to. (Civ. Code, § 3343(b).)</w:t>
      </w:r>
    </w:p>
    <w:p w14:paraId="00A6F7F7" w14:textId="77777777" w:rsidR="00745226" w:rsidRDefault="008C67F5" w:rsidP="008C67F5">
      <w:pPr>
        <w:spacing w:after="264"/>
        <w:ind w:left="1350" w:hanging="270"/>
        <w:rPr>
          <w:rFonts w:cs="Times New Roman"/>
          <w:bCs/>
          <w:szCs w:val="24"/>
        </w:rPr>
      </w:pPr>
      <w:r w:rsidRPr="00020852">
        <w:rPr>
          <w:rFonts w:cs="Times New Roman"/>
          <w:bCs/>
          <w:szCs w:val="24"/>
        </w:rPr>
        <w:lastRenderedPageBreak/>
        <w:t>•   In real property transactions, emotional distress damages are not recoverable. (Civ. Code, § 3343.)</w:t>
      </w:r>
    </w:p>
    <w:p w14:paraId="6F259CE3" w14:textId="77777777" w:rsidR="00745226" w:rsidRDefault="008C67F5" w:rsidP="008C67F5">
      <w:pPr>
        <w:spacing w:after="264"/>
        <w:ind w:left="1080" w:hanging="360"/>
        <w:rPr>
          <w:rFonts w:cs="Times New Roman"/>
          <w:bCs/>
          <w:szCs w:val="24"/>
        </w:rPr>
      </w:pPr>
      <w:r w:rsidRPr="00020852">
        <w:rPr>
          <w:rFonts w:cs="Times New Roman"/>
          <w:bCs/>
          <w:szCs w:val="24"/>
        </w:rPr>
        <w:t>—  For fraud involving fiduciary relationships, a broader spectrum of damages is available, typically benefit of the bargain damages. (Civ. Code, §§ 1709, 3333.)</w:t>
      </w:r>
    </w:p>
    <w:p w14:paraId="6256F40A"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46" w:name="_Hlk40942921"/>
      <w:r w:rsidRPr="00020852">
        <w:rPr>
          <w:rFonts w:cs="Times New Roman"/>
          <w:bCs/>
          <w:szCs w:val="24"/>
        </w:rPr>
        <w:t>Damages for emotional distress are available for some types of fraud that don’t involve real property.</w:t>
      </w:r>
      <w:bookmarkEnd w:id="46"/>
      <w:r w:rsidRPr="00020852">
        <w:rPr>
          <w:rFonts w:cs="Times New Roman"/>
          <w:bCs/>
          <w:szCs w:val="24"/>
        </w:rPr>
        <w:t xml:space="preserve"> </w:t>
      </w:r>
      <w:bookmarkStart w:id="47" w:name="_Hlk40943211"/>
      <w:r w:rsidRPr="00020852">
        <w:rPr>
          <w:rFonts w:cs="Times New Roman"/>
          <w:bCs/>
          <w:szCs w:val="24"/>
        </w:rPr>
        <w:t>(</w:t>
      </w:r>
      <w:r w:rsidRPr="00020852">
        <w:rPr>
          <w:rFonts w:cs="Times New Roman"/>
          <w:bCs/>
          <w:i/>
          <w:iCs/>
          <w:szCs w:val="24"/>
        </w:rPr>
        <w:t>Sprague v. Frank J. Sanders Lincoln Mercury, Inc.</w:t>
      </w:r>
      <w:r w:rsidRPr="00020852">
        <w:rPr>
          <w:rFonts w:cs="Times New Roman"/>
          <w:bCs/>
          <w:szCs w:val="24"/>
        </w:rPr>
        <w:t xml:space="preserve"> (1981) 120 Cal. App. 3d 412, 417 [“general damages for mental pain and suffering are recoverable in a tort action of deceit”].)</w:t>
      </w:r>
      <w:bookmarkEnd w:id="47"/>
      <w:r w:rsidRPr="00020852">
        <w:rPr>
          <w:rFonts w:cs="Times New Roman"/>
          <w:bCs/>
          <w:szCs w:val="24"/>
        </w:rPr>
        <w:t xml:space="preserve"> For negligent misrepresentation cases, no emotional distress damages are available </w:t>
      </w:r>
      <w:r w:rsidRPr="00020852">
        <w:rPr>
          <w:rFonts w:cs="Times New Roman"/>
          <w:bCs/>
          <w:i/>
          <w:iCs/>
          <w:szCs w:val="24"/>
        </w:rPr>
        <w:t>unless</w:t>
      </w:r>
      <w:r w:rsidRPr="00020852">
        <w:rPr>
          <w:rFonts w:cs="Times New Roman"/>
          <w:bCs/>
          <w:szCs w:val="24"/>
        </w:rPr>
        <w:t xml:space="preserve"> plaintiff suffers physical injury.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Cal.App.4th, 793, 798-799.)</w:t>
      </w:r>
    </w:p>
    <w:p w14:paraId="0525BA6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are awardable where plaintiff shows by clear and convincing evidence that defendant was guilty of oppression, fraud, or malice. (Civ. Code, § 3294(a); </w:t>
      </w:r>
      <w:r w:rsidRPr="00020852">
        <w:rPr>
          <w:rFonts w:cs="Times New Roman"/>
          <w:bCs/>
          <w:i/>
          <w:iCs/>
          <w:szCs w:val="24"/>
        </w:rPr>
        <w:t xml:space="preserve">Godfrey v. </w:t>
      </w:r>
      <w:proofErr w:type="spellStart"/>
      <w:r w:rsidRPr="00020852">
        <w:rPr>
          <w:rFonts w:cs="Times New Roman"/>
          <w:bCs/>
          <w:i/>
          <w:iCs/>
          <w:szCs w:val="24"/>
        </w:rPr>
        <w:t>Steinpress</w:t>
      </w:r>
      <w:proofErr w:type="spellEnd"/>
      <w:r w:rsidRPr="00020852">
        <w:rPr>
          <w:rFonts w:cs="Times New Roman"/>
          <w:bCs/>
          <w:szCs w:val="24"/>
        </w:rPr>
        <w:t xml:space="preserve"> (1982) 128 </w:t>
      </w:r>
      <w:proofErr w:type="spellStart"/>
      <w:r w:rsidRPr="00020852">
        <w:rPr>
          <w:rFonts w:cs="Times New Roman"/>
          <w:bCs/>
          <w:szCs w:val="24"/>
        </w:rPr>
        <w:t>Cal.App.3d</w:t>
      </w:r>
      <w:proofErr w:type="spellEnd"/>
      <w:r w:rsidRPr="00020852">
        <w:rPr>
          <w:rFonts w:cs="Times New Roman"/>
          <w:bCs/>
          <w:szCs w:val="24"/>
        </w:rPr>
        <w:t xml:space="preserve"> 154; </w:t>
      </w:r>
      <w:r w:rsidRPr="00020852">
        <w:rPr>
          <w:rFonts w:cs="Times New Roman"/>
          <w:bCs/>
          <w:i/>
          <w:iCs/>
          <w:szCs w:val="24"/>
        </w:rPr>
        <w:t>Wyatt v. Union Mortgage Co.</w:t>
      </w:r>
      <w:r w:rsidRPr="00020852">
        <w:rPr>
          <w:rFonts w:cs="Times New Roman"/>
          <w:bCs/>
          <w:szCs w:val="24"/>
        </w:rPr>
        <w:t xml:space="preserve"> (1979) 24 Cal.3d 773, 790;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 supra,</w:t>
      </w:r>
      <w:r w:rsidRPr="00020852">
        <w:rPr>
          <w:rFonts w:cs="Times New Roman"/>
          <w:bCs/>
          <w:szCs w:val="24"/>
        </w:rPr>
        <w:t xml:space="preserve"> 6 Cal.App.4th at 799.)</w:t>
      </w:r>
    </w:p>
    <w:p w14:paraId="7B510A6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01FEB6F"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3D6AAE6" w14:textId="77777777" w:rsidR="00745226" w:rsidRDefault="008C67F5" w:rsidP="008C67F5">
      <w:pPr>
        <w:spacing w:after="264"/>
        <w:ind w:left="1080" w:hanging="360"/>
        <w:rPr>
          <w:rFonts w:cs="Times New Roman"/>
          <w:bCs/>
          <w:szCs w:val="24"/>
        </w:rPr>
      </w:pPr>
      <w:r w:rsidRPr="00020852">
        <w:rPr>
          <w:rFonts w:cs="Times New Roman"/>
          <w:bCs/>
          <w:szCs w:val="24"/>
        </w:rPr>
        <w:t xml:space="preserve">—  Where the essence of a claim is that defendant’s act constituted actual or constructive fraud, the claim is subject to the three-year limitations period. (Code Civ. Proc., § 338.) </w:t>
      </w:r>
    </w:p>
    <w:p w14:paraId="716394C8" w14:textId="77777777" w:rsidR="00745226" w:rsidRDefault="008C67F5" w:rsidP="008C67F5">
      <w:pPr>
        <w:spacing w:after="264"/>
        <w:ind w:left="1080" w:hanging="360"/>
        <w:rPr>
          <w:rFonts w:cs="Times New Roman"/>
          <w:bCs/>
          <w:szCs w:val="24"/>
        </w:rPr>
      </w:pPr>
      <w:r w:rsidRPr="00020852">
        <w:rPr>
          <w:rFonts w:cs="Times New Roman"/>
          <w:bCs/>
          <w:szCs w:val="24"/>
        </w:rPr>
        <w:t xml:space="preserve">—  Otherwise, the statute of limitations is four years. (Code Civ. Proc., § 343; </w:t>
      </w:r>
      <w:r w:rsidRPr="00020852">
        <w:rPr>
          <w:rFonts w:cs="Times New Roman"/>
          <w:bCs/>
          <w:i/>
          <w:iCs/>
          <w:szCs w:val="24"/>
        </w:rPr>
        <w:t>William L. Lyon &amp; Associates Inc. v. Sup. Ct.</w:t>
      </w:r>
      <w:r w:rsidRPr="00020852">
        <w:rPr>
          <w:rFonts w:cs="Times New Roman"/>
          <w:bCs/>
          <w:szCs w:val="24"/>
        </w:rPr>
        <w:t xml:space="preserve"> (2012) 204 Cal.App.4th 1294, 1312.)</w:t>
      </w:r>
    </w:p>
    <w:p w14:paraId="50412A5C" w14:textId="3175C9C5"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F30155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intentional misrepresentation</w:t>
      </w:r>
      <w:r w:rsidRPr="00020852">
        <w:rPr>
          <w:rFonts w:cs="Times New Roman"/>
          <w:bCs/>
          <w:szCs w:val="24"/>
          <w:highlight w:val="green"/>
        </w:rPr>
        <w:t>. If one or more provisions of the CC&amp;Rs is/are relevant, you should cite to that/those provision(s) here (no need to quote or provide a snip).</w:t>
      </w:r>
    </w:p>
    <w:p w14:paraId="3A2142E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5E578C1D"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270788BD" w14:textId="5C81BEB4"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F7E650"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46A6C92"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F8AE3D6" w14:textId="77777777" w:rsidR="00745226" w:rsidRDefault="007B2701" w:rsidP="00EA2883">
      <w:pPr>
        <w:pStyle w:val="Heading2"/>
      </w:pPr>
      <w:r w:rsidRPr="00020852">
        <w:fldChar w:fldCharType="begin"/>
      </w:r>
      <w:r w:rsidRPr="00020852">
        <w:instrText xml:space="preserve"> LISTNUM LegalDefault \l 2 </w:instrText>
      </w:r>
      <w:bookmarkStart w:id="48" w:name="_Toc130368716"/>
      <w:r w:rsidRPr="00020852">
        <w:fldChar w:fldCharType="end"/>
      </w:r>
      <w:r w:rsidR="00CA5593">
        <w:br/>
      </w:r>
      <w:r w:rsidRPr="00020852">
        <w:t>Negligent Misrepresentation</w:t>
      </w:r>
      <w:bookmarkEnd w:id="48"/>
    </w:p>
    <w:p w14:paraId="3D929B7A" w14:textId="79F270D3"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—Negligent Misrepresentation</w:t>
      </w:r>
    </w:p>
    <w:p w14:paraId="4DD6851E"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a claim for </w:t>
      </w:r>
      <w:r w:rsidRPr="00020852">
        <w:rPr>
          <w:rFonts w:cs="Times New Roman"/>
          <w:bCs/>
          <w:i/>
          <w:iCs/>
          <w:szCs w:val="24"/>
        </w:rPr>
        <w:t>negligent</w:t>
      </w:r>
      <w:r w:rsidRPr="00020852">
        <w:rPr>
          <w:rFonts w:cs="Times New Roman"/>
          <w:bCs/>
          <w:szCs w:val="24"/>
        </w:rPr>
        <w:t xml:space="preserve"> misrepresentation are nearly identical to those required to allege intentional misrepresentation (or fraud), except that the second element requires the absence of reasonable grounds for believing the misrepresentation to be true instead of knowledge of its falsity. The elements, therefore, are: (i) a misrepresentation; (ii) made with no reasonable basis to believe the representation is true;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Bock v. Hansen</w:t>
      </w:r>
      <w:r w:rsidRPr="00020852">
        <w:rPr>
          <w:rFonts w:cs="Times New Roman"/>
          <w:bCs/>
          <w:szCs w:val="24"/>
        </w:rPr>
        <w:t xml:space="preserve"> (2014) 225 Cal.App.4th 215, 231.)</w:t>
      </w:r>
    </w:p>
    <w:p w14:paraId="3DBDB6F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98B116" w14:textId="77777777" w:rsidR="00745226" w:rsidRDefault="007B2701" w:rsidP="007B2701">
      <w:pPr>
        <w:spacing w:after="264"/>
        <w:ind w:left="1080" w:hanging="360"/>
        <w:rPr>
          <w:rFonts w:cs="Times New Roman"/>
          <w:bCs/>
          <w:szCs w:val="24"/>
        </w:rPr>
      </w:pPr>
      <w:r w:rsidRPr="00020852">
        <w:rPr>
          <w:rFonts w:cs="Times New Roman"/>
          <w:bCs/>
          <w:szCs w:val="24"/>
        </w:rPr>
        <w:t>—  For compensatory (money) damages, defrauded plaintiffs are generally limited to the “out-of-pocket” measure of damages, which seeks to restore plaintiffs to the financial position they were in before the fraud occurred. Plaintiffs receive the difference in value between what they gave to defendant and what they received in return, plus consequential pecuniary loss caused by reliance on misrepresentation. (</w:t>
      </w:r>
      <w:r w:rsidRPr="00020852">
        <w:rPr>
          <w:rFonts w:cs="Times New Roman"/>
          <w:bCs/>
          <w:i/>
          <w:iCs/>
          <w:szCs w:val="24"/>
        </w:rPr>
        <w:t>Alliance Mortg. Co. v. Rothwell</w:t>
      </w:r>
      <w:r w:rsidRPr="00020852">
        <w:rPr>
          <w:rFonts w:cs="Times New Roman"/>
          <w:bCs/>
          <w:szCs w:val="24"/>
        </w:rPr>
        <w:t xml:space="preserve"> (1995) 10 Cal.4th 1226.)</w:t>
      </w:r>
    </w:p>
    <w:p w14:paraId="1EC801B2" w14:textId="77777777" w:rsidR="00745226" w:rsidRDefault="007B2701" w:rsidP="007B2701">
      <w:pPr>
        <w:spacing w:after="264"/>
        <w:ind w:left="1080" w:hanging="360"/>
        <w:rPr>
          <w:rFonts w:cs="Times New Roman"/>
          <w:bCs/>
          <w:szCs w:val="24"/>
        </w:rPr>
      </w:pPr>
      <w:r w:rsidRPr="00020852">
        <w:rPr>
          <w:rFonts w:cs="Times New Roman"/>
          <w:bCs/>
          <w:szCs w:val="24"/>
        </w:rPr>
        <w:t>—  For misrepresentations involving the purchase and sale of real property, damages are governed by Civil Code section 3343. The defrauded party is entitled to recover the difference between the actual value given and the actual value of what they received, together with any additional damage arising from the particular transaction, including: (i) amounts actually and reasonably expended in reliance upon the fraud; (ii) amounts for loss of use and enjoyment of the property proximately caused by the fraud; and (iii) in the case of a party induced to sell income property, profits or other gains that might reasonably have been earned by use of the property had the person retained it. (Civ. Code, § 3343(a).) Additional damage calculations apply if the defrauded party was induced to purchase income property. (</w:t>
      </w:r>
      <w:r w:rsidRPr="00020852">
        <w:rPr>
          <w:rFonts w:cs="Times New Roman"/>
          <w:bCs/>
          <w:i/>
          <w:szCs w:val="24"/>
        </w:rPr>
        <w:t>Ibid</w:t>
      </w:r>
      <w:r w:rsidRPr="00020852">
        <w:rPr>
          <w:rFonts w:cs="Times New Roman"/>
          <w:bCs/>
          <w:i/>
          <w:iCs/>
          <w:szCs w:val="24"/>
        </w:rPr>
        <w:t>.</w:t>
      </w:r>
      <w:r w:rsidRPr="00020852">
        <w:rPr>
          <w:rFonts w:cs="Times New Roman"/>
          <w:bCs/>
          <w:szCs w:val="24"/>
        </w:rPr>
        <w:t xml:space="preserve">) Damages are </w:t>
      </w:r>
      <w:r w:rsidRPr="00020852">
        <w:rPr>
          <w:rFonts w:cs="Times New Roman"/>
          <w:bCs/>
          <w:i/>
          <w:iCs/>
          <w:szCs w:val="24"/>
          <w:u w:val="single"/>
        </w:rPr>
        <w:t>not</w:t>
      </w:r>
      <w:r w:rsidRPr="00020852">
        <w:rPr>
          <w:rFonts w:cs="Times New Roman"/>
          <w:bCs/>
          <w:szCs w:val="24"/>
        </w:rPr>
        <w:t xml:space="preserve"> calculated as the difference between what was represented and what the property is actually worth. (Civ. Code, § 3343(b).)</w:t>
      </w:r>
    </w:p>
    <w:p w14:paraId="641257FD"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Punitive damages and emotional distress damages are not available in the absence of physical injury. (</w:t>
      </w:r>
      <w:r w:rsidRPr="00020852">
        <w:rPr>
          <w:rFonts w:cs="Times New Roman"/>
          <w:bCs/>
          <w:i/>
          <w:iCs/>
          <w:szCs w:val="24"/>
        </w:rPr>
        <w:t xml:space="preserve">Butler-Rupp v. </w:t>
      </w:r>
      <w:proofErr w:type="spellStart"/>
      <w:r w:rsidRPr="00020852">
        <w:rPr>
          <w:rFonts w:cs="Times New Roman"/>
          <w:bCs/>
          <w:i/>
          <w:iCs/>
          <w:szCs w:val="24"/>
        </w:rPr>
        <w:t>Lourdeaux</w:t>
      </w:r>
      <w:proofErr w:type="spellEnd"/>
      <w:r w:rsidRPr="00020852">
        <w:rPr>
          <w:rFonts w:cs="Times New Roman"/>
          <w:bCs/>
          <w:szCs w:val="24"/>
        </w:rPr>
        <w:t xml:space="preserve"> (2005) 134 Cal.App.4th 1220, 1227;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Cal.App.793, 799-800.)</w:t>
      </w:r>
    </w:p>
    <w:p w14:paraId="0E52993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DCACE1F"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EEFDAA2" w14:textId="77777777" w:rsidR="00745226" w:rsidRDefault="007B2701" w:rsidP="007B2701">
      <w:pPr>
        <w:spacing w:after="264"/>
        <w:ind w:left="1080" w:hanging="360"/>
        <w:rPr>
          <w:rFonts w:cs="Times New Roman"/>
          <w:bCs/>
          <w:szCs w:val="24"/>
        </w:rPr>
      </w:pPr>
      <w:r w:rsidRPr="00020852">
        <w:rPr>
          <w:rFonts w:cs="Times New Roman"/>
          <w:bCs/>
          <w:szCs w:val="24"/>
        </w:rPr>
        <w:t>—  Three years. (Code Civ. Proc., § 338(d).)</w:t>
      </w:r>
    </w:p>
    <w:p w14:paraId="0EDEBF85" w14:textId="0202836B"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E8514E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negligent misrepresentation</w:t>
      </w:r>
      <w:r w:rsidRPr="00020852">
        <w:rPr>
          <w:rFonts w:cs="Times New Roman"/>
          <w:bCs/>
          <w:szCs w:val="24"/>
          <w:highlight w:val="green"/>
        </w:rPr>
        <w:t>. If one or more provisions of the CC&amp;Rs is/are relevant, you should cite to that/those provision(s) here (no need to quote or provide a snip).</w:t>
      </w:r>
    </w:p>
    <w:p w14:paraId="042E763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5811553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138BD815" w14:textId="0537B10D"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A921BDF"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2202FE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04BBDBC" w14:textId="77777777" w:rsidR="00745226" w:rsidRDefault="00BB03BF" w:rsidP="00EA2883">
      <w:pPr>
        <w:pStyle w:val="Heading2"/>
      </w:pPr>
      <w:r w:rsidRPr="00020852">
        <w:fldChar w:fldCharType="begin"/>
      </w:r>
      <w:r w:rsidRPr="00020852">
        <w:instrText xml:space="preserve"> LISTNUM LegalDefault \l 2 </w:instrText>
      </w:r>
      <w:bookmarkStart w:id="140" w:name="_Toc130368759"/>
      <w:r w:rsidRPr="00020852">
        <w:fldChar w:fldCharType="end"/>
      </w:r>
      <w:r w:rsidR="000B75CA">
        <w:br/>
      </w:r>
      <w:r>
        <w:t>Violation of California Civil Code Section 1102.6</w:t>
      </w:r>
      <w:bookmarkEnd w:id="140"/>
    </w:p>
    <w:p w14:paraId="75BCE7F6" w14:textId="2360465F" w:rsidR="00745226" w:rsidRDefault="00BB03BF" w:rsidP="00BB03BF">
      <w:pPr>
        <w:spacing w:after="264"/>
        <w:rPr>
          <w:rFonts w:cs="Times New Roman"/>
          <w:bCs/>
          <w:szCs w:val="24"/>
        </w:rPr>
      </w:pPr>
      <w:r w:rsidRPr="00020852">
        <w:rPr>
          <w:rFonts w:cs="Times New Roman"/>
          <w:bCs/>
          <w:szCs w:val="24"/>
          <w:u w:val="single"/>
        </w:rPr>
        <w:t>Elements</w:t>
      </w:r>
      <w:r w:rsidRPr="00020852">
        <w:rPr>
          <w:rFonts w:cs="Times New Roman"/>
          <w:bCs/>
          <w:szCs w:val="24"/>
        </w:rPr>
        <w:t>—</w:t>
      </w:r>
      <w:r>
        <w:rPr>
          <w:rFonts w:cs="Times New Roman"/>
          <w:szCs w:val="24"/>
        </w:rPr>
        <w:t>Violation of California Civil Code Section 1102.6</w:t>
      </w:r>
    </w:p>
    <w:p w14:paraId="22B3E8C1"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Provide the elements AND statutory/case law of this cause of action.</w:t>
      </w:r>
      <w:r w:rsidRPr="00020852">
        <w:rPr>
          <w:rFonts w:cs="Times New Roman"/>
          <w:bCs/>
          <w:szCs w:val="24"/>
        </w:rPr>
        <w:t xml:space="preserve"> </w:t>
      </w:r>
    </w:p>
    <w:p w14:paraId="54D7AA50"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want, add snippets from other cases (see the examples above for ideas). Make sure to maintain the proper formatting and margins established in this document.</w:t>
      </w:r>
      <w:r w:rsidRPr="00020852">
        <w:rPr>
          <w:rFonts w:cs="Times New Roman"/>
          <w:bCs/>
          <w:szCs w:val="24"/>
        </w:rPr>
        <w:t xml:space="preserve">  </w:t>
      </w:r>
    </w:p>
    <w:p w14:paraId="516A8996"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00991EE6" w14:textId="77777777" w:rsidR="00745226" w:rsidRDefault="00BB03BF" w:rsidP="00BB03B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61A9294D"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What are the available remedies.</w:t>
      </w:r>
    </w:p>
    <w:p w14:paraId="3C3019EC" w14:textId="77777777" w:rsidR="00745226" w:rsidRDefault="00BB03BF" w:rsidP="00BB03B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B5A9F7F" w14:textId="77777777" w:rsidR="00745226" w:rsidRDefault="00BB03BF" w:rsidP="00BB03B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F3ECFF7"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What is the statute of limitations for this claim?</w:t>
      </w:r>
    </w:p>
    <w:p w14:paraId="39B613C8" w14:textId="2D718903" w:rsidR="00745226" w:rsidRDefault="00BB03BF" w:rsidP="00BB03B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011048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Pr>
          <w:rFonts w:cs="Times New Roman"/>
          <w:i/>
          <w:iCs/>
          <w:szCs w:val="24"/>
          <w:highlight w:val="green"/>
        </w:rPr>
        <w:t>violation of california civil code section 1102.6</w:t>
      </w:r>
      <w:r w:rsidRPr="00020852">
        <w:rPr>
          <w:rFonts w:cs="Times New Roman"/>
          <w:bCs/>
          <w:szCs w:val="24"/>
          <w:highlight w:val="green"/>
        </w:rPr>
        <w:t xml:space="preserve">. If one or more provisions of the CC&amp;Rs is/are relevant, you should cite to that/those provision(s) here (no need to quote or provide a snip). </w:t>
      </w:r>
    </w:p>
    <w:p w14:paraId="0B7A6D89" w14:textId="77777777" w:rsidR="00745226" w:rsidRDefault="00BB03BF" w:rsidP="00BB03BF">
      <w:pPr>
        <w:spacing w:after="264"/>
        <w:ind w:left="1080" w:hanging="360"/>
        <w:rPr>
          <w:rFonts w:cs="Times New Roman"/>
          <w:bCs/>
          <w:szCs w:val="24"/>
          <w:highlight w:val="green"/>
        </w:rPr>
      </w:pPr>
      <w:r w:rsidRPr="00020852">
        <w:rPr>
          <w:rFonts w:cs="Times New Roman"/>
          <w:bCs/>
          <w:szCs w:val="24"/>
          <w:highlight w:val="green"/>
        </w:rPr>
        <w:t>—  ***</w:t>
      </w:r>
    </w:p>
    <w:p w14:paraId="1FB6AD37"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t>
      </w:r>
    </w:p>
    <w:p w14:paraId="644AC050" w14:textId="23112571" w:rsidR="00745226" w:rsidRDefault="00BB03BF" w:rsidP="00BB03B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53DC916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7D35F250" w14:textId="77777777" w:rsidR="00745226" w:rsidRDefault="00BB03BF" w:rsidP="00D45EA6">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TBD</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Orange</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Orange</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TBD</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TBD</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Badran v. Mesa Vista North Townhomes HOA et al.</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