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Chin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SS</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Blah Blah</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Jane Chin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Michael Smith</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Neighbor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w:t>
      </w:r>
      <w:r>
        <w:rPr>
          <w:rFonts w:cs="Times New Roman"/>
          <w:bCs/>
          <w:szCs w:val="24"/>
        </w:rPr>
        <w:t>defamation</w:t>
      </w:r>
      <w:r>
        <w:rPr>
          <w:rFonts w:cs="Times New Roman"/>
          <w:bCs/>
          <w:szCs w:val="24"/>
        </w:rPr>
        <w:t xml:space="preserve">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5" w:name="_Toc130368725"/>
      <w:r w:rsidRPr="00020852">
        <w:fldChar w:fldCharType="end"/>
      </w:r>
      <w:r w:rsidR="0096609A">
        <w:br/>
      </w:r>
      <w:r w:rsidRPr="00020852">
        <w:t>Violation of Statute (Dog Bite)</w:t>
      </w:r>
      <w:bookmarkEnd w:id="6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6" w:name="_Toc130368726"/>
      <w:r w:rsidRPr="00020852">
        <w:fldChar w:fldCharType="end"/>
      </w:r>
      <w:r w:rsidR="000B75CA">
        <w:br/>
      </w:r>
      <w:r w:rsidRPr="00020852">
        <w:t>False Imprisonment</w:t>
      </w:r>
      <w:bookmarkEnd w:id="6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7" w:name="_Toc130368727"/>
      <w:r w:rsidRPr="00020852">
        <w:fldChar w:fldCharType="end"/>
      </w:r>
      <w:r w:rsidR="000B75CA">
        <w:br/>
      </w:r>
      <w:r w:rsidRPr="00020852">
        <w:t>Invasion of Privacy</w:t>
      </w:r>
      <w:bookmarkEnd w:id="6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8" w:name="_Toc130368728"/>
      <w:r w:rsidRPr="00020852">
        <w:fldChar w:fldCharType="end"/>
      </w:r>
      <w:r w:rsidR="000B75CA">
        <w:br/>
      </w:r>
      <w:r w:rsidRPr="00020852">
        <w:t>Express Indemnity</w:t>
      </w:r>
      <w:bookmarkEnd w:id="6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70" w:name="_Toc130368729"/>
      <w:r w:rsidRPr="00020852">
        <w:fldChar w:fldCharType="end"/>
      </w:r>
      <w:r w:rsidR="000B75CA">
        <w:br/>
      </w:r>
      <w:r w:rsidRPr="00020852">
        <w:t>Equitable Indemnity</w:t>
      </w:r>
      <w:bookmarkEnd w:id="7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3" w:name="_Toc53565502"/>
      <w:bookmarkStart w:id="74" w:name="_Toc130368731"/>
      <w:r w:rsidRPr="00020852">
        <w:fldChar w:fldCharType="end"/>
      </w:r>
      <w:r>
        <w:br/>
        <w:t>Quiet Title</w:t>
      </w:r>
      <w:bookmarkEnd w:id="73"/>
      <w:bookmarkEnd w:id="74"/>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5" w:name="_Toc53565503"/>
      <w:bookmarkStart w:id="76" w:name="_Toc130368732"/>
      <w:r w:rsidRPr="00020852">
        <w:fldChar w:fldCharType="end"/>
      </w:r>
      <w:r>
        <w:br/>
      </w:r>
      <w:r w:rsidRPr="0085559E">
        <w:t>Slander of Title</w:t>
      </w:r>
      <w:bookmarkEnd w:id="75"/>
      <w:bookmarkEnd w:id="76"/>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7" w:name="_Toc53565504"/>
      <w:bookmarkStart w:id="78" w:name="_Toc130368733"/>
      <w:r w:rsidRPr="00020852">
        <w:fldChar w:fldCharType="end"/>
      </w:r>
      <w:r>
        <w:br/>
      </w:r>
      <w:r w:rsidRPr="0085559E">
        <w:t>Cancellation of Instrument</w:t>
      </w:r>
      <w:bookmarkEnd w:id="77"/>
      <w:bookmarkEnd w:id="7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9" w:name="_Toc53565505"/>
      <w:bookmarkStart w:id="80" w:name="_Toc130368734"/>
      <w:r w:rsidRPr="00020852">
        <w:fldChar w:fldCharType="end"/>
      </w:r>
      <w:r>
        <w:br/>
      </w:r>
      <w:r w:rsidRPr="00B25B1D">
        <w:t>Reformation of Instrument</w:t>
      </w:r>
      <w:bookmarkEnd w:id="79"/>
      <w:bookmarkEnd w:id="8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1" w:name="_Toc130368735"/>
      <w:r w:rsidRPr="00020852">
        <w:fldChar w:fldCharType="end"/>
      </w:r>
      <w:r>
        <w:br/>
        <w:t>Partition</w:t>
      </w:r>
      <w:bookmarkEnd w:id="81"/>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2" w:name="_Toc53565507"/>
      <w:bookmarkStart w:id="83" w:name="_Toc130368736"/>
      <w:r w:rsidRPr="00020852">
        <w:fldChar w:fldCharType="end"/>
      </w:r>
      <w:r>
        <w:br/>
        <w:t>Conversion</w:t>
      </w:r>
      <w:bookmarkEnd w:id="82"/>
      <w:bookmarkEnd w:id="8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4" w:name="_Toc53565508"/>
      <w:bookmarkStart w:id="85" w:name="_Toc130368737"/>
      <w:r w:rsidRPr="00020852">
        <w:fldChar w:fldCharType="end"/>
      </w:r>
      <w:r>
        <w:br/>
      </w:r>
      <w:r w:rsidRPr="0099097C">
        <w:t>Trespass to Chattels</w:t>
      </w:r>
      <w:bookmarkEnd w:id="84"/>
      <w:bookmarkEnd w:id="85"/>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6" w:name="_Toc53565509"/>
      <w:bookmarkStart w:id="87" w:name="_Toc130368738"/>
      <w:r w:rsidRPr="00020852">
        <w:fldChar w:fldCharType="end"/>
      </w:r>
      <w:r>
        <w:br/>
      </w:r>
      <w:r w:rsidRPr="00817D6C">
        <w:t>Open Book Account</w:t>
      </w:r>
      <w:bookmarkEnd w:id="86"/>
      <w:bookmarkEnd w:id="87"/>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8" w:name="_Toc53565510"/>
      <w:bookmarkStart w:id="89" w:name="_Toc130368739"/>
      <w:r w:rsidRPr="00020852">
        <w:fldChar w:fldCharType="end"/>
      </w:r>
      <w:r>
        <w:br/>
      </w:r>
      <w:r w:rsidRPr="00817D6C">
        <w:t>Money Had and Received</w:t>
      </w:r>
      <w:bookmarkEnd w:id="88"/>
      <w:bookmarkEnd w:id="89"/>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0" w:name="_Toc53565511"/>
      <w:bookmarkStart w:id="91" w:name="_Toc130368740"/>
      <w:r w:rsidRPr="00020852">
        <w:fldChar w:fldCharType="end"/>
      </w:r>
      <w:r>
        <w:br/>
        <w:t>Account Stated</w:t>
      </w:r>
      <w:bookmarkEnd w:id="90"/>
      <w:bookmarkEnd w:id="91"/>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2" w:name="_Toc53565512"/>
      <w:bookmarkStart w:id="93" w:name="_Toc130368741"/>
      <w:r w:rsidRPr="00020852">
        <w:fldChar w:fldCharType="end"/>
      </w:r>
      <w:r>
        <w:br/>
      </w:r>
      <w:r w:rsidRPr="00817D6C">
        <w:t>Goods and Services Rendered</w:t>
      </w:r>
      <w:bookmarkEnd w:id="92"/>
      <w:bookmarkEnd w:id="93"/>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4" w:name="_Toc53565513"/>
      <w:bookmarkStart w:id="95" w:name="_Toc130368742"/>
      <w:r w:rsidRPr="00020852">
        <w:fldChar w:fldCharType="end"/>
      </w:r>
      <w:r>
        <w:br/>
      </w:r>
      <w:r w:rsidRPr="00817D6C">
        <w:t>Unjust Enrichment</w:t>
      </w:r>
      <w:bookmarkEnd w:id="94"/>
      <w:bookmarkEnd w:id="95"/>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6" w:name="_Toc53565514"/>
      <w:bookmarkStart w:id="97" w:name="_Toc130368743"/>
      <w:r w:rsidRPr="00020852">
        <w:fldChar w:fldCharType="end"/>
      </w:r>
      <w:r>
        <w:br/>
        <w:t>Rescission</w:t>
      </w:r>
      <w:bookmarkEnd w:id="96"/>
      <w:bookmarkEnd w:id="9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8" w:name="_Toc53565515"/>
      <w:bookmarkStart w:id="99" w:name="_Toc130368744"/>
      <w:r w:rsidRPr="00020852">
        <w:fldChar w:fldCharType="end"/>
      </w:r>
      <w:r>
        <w:br/>
      </w:r>
      <w:r w:rsidRPr="00817D6C">
        <w:t>Financial Elder Abuse</w:t>
      </w:r>
      <w:r>
        <w:t xml:space="preserve"> (Welf. &amp; Inst. Code, § 15610.30)</w:t>
      </w:r>
      <w:bookmarkEnd w:id="98"/>
      <w:bookmarkEnd w:id="99"/>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00" w:name="_Toc53565516"/>
      <w:bookmarkStart w:id="101" w:name="_Toc130368745"/>
      <w:r w:rsidRPr="00020852">
        <w:fldChar w:fldCharType="end"/>
      </w:r>
      <w:r>
        <w:br/>
      </w:r>
      <w:r w:rsidRPr="00817D6C">
        <w:t>Negligent Hiring</w:t>
      </w:r>
      <w:bookmarkEnd w:id="100"/>
      <w:bookmarkEnd w:id="101"/>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2" w:name="_Hlk43280302"/>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3" w:name="_Toc53565517"/>
      <w:bookmarkStart w:id="104" w:name="_Toc130368746"/>
      <w:r w:rsidRPr="00020852">
        <w:fldChar w:fldCharType="end"/>
      </w:r>
      <w:r>
        <w:br/>
      </w:r>
      <w:r w:rsidRPr="00817D6C">
        <w:t>Negligent Supervision</w:t>
      </w:r>
      <w:bookmarkEnd w:id="103"/>
      <w:bookmarkEnd w:id="104"/>
    </w:p>
    <w:p w14:paraId="243F8CC1" w14:textId="77777777" w:rsidR="0079009E" w:rsidRDefault="0079009E" w:rsidP="0079009E">
      <w:pPr>
        <w:spacing w:after="264"/>
      </w:pPr>
      <w:r w:rsidRPr="00D93A31">
        <w:rPr>
          <w:u w:val="single"/>
        </w:rPr>
        <w:t>Elements</w:t>
      </w:r>
      <w:r>
        <w:t>—Negligent Supervision</w:t>
      </w:r>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2D1744E7" w14:textId="77777777" w:rsidR="0079009E" w:rsidRPr="00265AF8" w:rsidRDefault="0079009E" w:rsidP="0079009E">
      <w:pPr>
        <w:spacing w:after="264"/>
      </w:pPr>
      <w:r>
        <w:rPr>
          <w:u w:val="single"/>
        </w:rPr>
        <w:t>Remedies</w:t>
      </w:r>
      <w:r>
        <w:t>—</w:t>
      </w:r>
    </w:p>
    <w:p w14:paraId="535A5363" w14:textId="77777777" w:rsidR="0079009E" w:rsidRDefault="0079009E" w:rsidP="0079009E">
      <w:pPr>
        <w:spacing w:after="264"/>
        <w:ind w:left="1080" w:hanging="360"/>
      </w:pPr>
      <w:r>
        <w:t>—  The remedies for negligent supervision/retention are identical to those of negligent hiring.</w:t>
      </w:r>
    </w:p>
    <w:p w14:paraId="70BAF10C" w14:textId="77777777" w:rsidR="0079009E" w:rsidRPr="00265AF8" w:rsidRDefault="0079009E" w:rsidP="0079009E">
      <w:pPr>
        <w:spacing w:after="264"/>
        <w:rPr>
          <w:u w:val="single"/>
        </w:rPr>
      </w:pPr>
      <w:r>
        <w:rPr>
          <w:u w:val="single"/>
        </w:rPr>
        <w:t>Applicable Statute of Limitations</w:t>
      </w:r>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6" w:name="_Toc53565518"/>
      <w:bookmarkStart w:id="107"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6"/>
      <w:bookmarkEnd w:id="107"/>
    </w:p>
    <w:p w14:paraId="282BE646" w14:textId="77777777" w:rsidR="0079009E" w:rsidRDefault="0079009E" w:rsidP="0079009E">
      <w:pPr>
        <w:spacing w:after="264"/>
      </w:pPr>
      <w:bookmarkStart w:id="108"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8"/>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9" w:name="_Toc53565519"/>
      <w:bookmarkStart w:id="110" w:name="_Toc130368748"/>
      <w:r w:rsidRPr="00020852">
        <w:fldChar w:fldCharType="end"/>
      </w:r>
      <w:r>
        <w:br/>
      </w:r>
      <w:r w:rsidRPr="00995C2E">
        <w:t>Receipt of Stolen Property (P</w:t>
      </w:r>
      <w:r>
        <w:t xml:space="preserve">enal Code § </w:t>
      </w:r>
      <w:r w:rsidRPr="00995C2E">
        <w:t>496)</w:t>
      </w:r>
      <w:bookmarkEnd w:id="109"/>
      <w:bookmarkEnd w:id="11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1" w:name="_Toc53565520"/>
      <w:bookmarkStart w:id="112" w:name="_Toc130368749"/>
      <w:r w:rsidRPr="00020852">
        <w:fldChar w:fldCharType="end"/>
      </w:r>
      <w:r>
        <w:br/>
      </w:r>
      <w:r w:rsidRPr="00B8522E">
        <w:t>Misrepresentation in Connection with Sale of Security (</w:t>
      </w:r>
      <w:r>
        <w:t>Corp. Code, § 25401</w:t>
      </w:r>
      <w:r w:rsidRPr="00B8522E">
        <w:t>)</w:t>
      </w:r>
      <w:bookmarkEnd w:id="111"/>
      <w:bookmarkEnd w:id="112"/>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3" w:name="_Toc53565521"/>
      <w:bookmarkStart w:id="114" w:name="_Toc130368750"/>
      <w:r w:rsidRPr="00020852">
        <w:fldChar w:fldCharType="end"/>
      </w:r>
      <w:r>
        <w:br/>
      </w:r>
      <w:r w:rsidRPr="00B8522E">
        <w:t>Recovery Against Contractor’s Bond</w:t>
      </w:r>
      <w:bookmarkEnd w:id="113"/>
      <w:bookmarkEnd w:id="114"/>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6" w:name="_Toc53565522"/>
      <w:bookmarkStart w:id="117" w:name="_Toc130368751"/>
      <w:r w:rsidRPr="00020852">
        <w:fldChar w:fldCharType="end"/>
      </w:r>
      <w:r>
        <w:br/>
      </w:r>
      <w:r w:rsidRPr="00B8522E">
        <w:t>Breach of Independent Wholesale Representatives Act</w:t>
      </w:r>
      <w:r>
        <w:t xml:space="preserve"> (Civ. Code, § 1738.10 et seq)</w:t>
      </w:r>
      <w:bookmarkEnd w:id="116"/>
      <w:bookmarkEnd w:id="117"/>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8"/>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1" w:name="_Toc53565523"/>
      <w:bookmarkStart w:id="122" w:name="_Toc130368752"/>
      <w:r w:rsidRPr="00020852">
        <w:fldChar w:fldCharType="end"/>
      </w:r>
      <w:r>
        <w:br/>
        <w:t>Violation of California Uniform Trade Secrets Act (Civ. Code, § 3426 et seq.)</w:t>
      </w:r>
      <w:bookmarkEnd w:id="121"/>
      <w:bookmarkEnd w:id="122"/>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3" w:name="_Toc53565524"/>
      <w:bookmarkStart w:id="124" w:name="_Toc130368753"/>
      <w:r w:rsidRPr="00020852">
        <w:fldChar w:fldCharType="end"/>
      </w:r>
      <w:r>
        <w:br/>
      </w:r>
      <w:r w:rsidRPr="00926B13">
        <w:t>Malicious Prosecuti</w:t>
      </w:r>
      <w:r>
        <w:t>on</w:t>
      </w:r>
      <w:bookmarkEnd w:id="123"/>
      <w:bookmarkEnd w:id="12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5" w:name="_Toc53565525"/>
      <w:bookmarkStart w:id="126" w:name="_Toc130368754"/>
      <w:r w:rsidRPr="00020852">
        <w:fldChar w:fldCharType="end"/>
      </w:r>
      <w:r>
        <w:br/>
      </w:r>
      <w:r w:rsidRPr="00FB57A1">
        <w:t>Abuse of Process</w:t>
      </w:r>
      <w:bookmarkEnd w:id="125"/>
      <w:bookmarkEnd w:id="126"/>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7"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7"/>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8"/>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9" w:name="_Toc53565526"/>
      <w:bookmarkStart w:id="130" w:name="_Toc130368755"/>
      <w:r w:rsidRPr="00020852">
        <w:fldChar w:fldCharType="end"/>
      </w:r>
      <w:r>
        <w:br/>
      </w:r>
      <w:r w:rsidRPr="002D0B04">
        <w:t>Insurance Bad Faith</w:t>
      </w:r>
      <w:bookmarkEnd w:id="129"/>
      <w:bookmarkEnd w:id="130"/>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1"/>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2" w:name="_Toc53565527"/>
      <w:bookmarkStart w:id="133" w:name="_Toc130368756"/>
      <w:r w:rsidRPr="00020852">
        <w:fldChar w:fldCharType="end"/>
      </w:r>
      <w:r>
        <w:br/>
      </w:r>
      <w:r w:rsidRPr="00727240">
        <w:t>Medical Malpractice</w:t>
      </w:r>
      <w:bookmarkEnd w:id="132"/>
      <w:bookmarkEnd w:id="133"/>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4"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4"/>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5" w:name="_Toc53565528"/>
      <w:bookmarkStart w:id="136" w:name="_Toc130368757"/>
      <w:r w:rsidRPr="00020852">
        <w:fldChar w:fldCharType="end"/>
      </w:r>
      <w:r>
        <w:br/>
      </w:r>
      <w:r w:rsidRPr="000D7F51">
        <w:t>Legal Malpractice</w:t>
      </w:r>
      <w:bookmarkEnd w:id="135"/>
      <w:bookmarkEnd w:id="136"/>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7"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7"/>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8" w:name="_Toc130368758"/>
      <w:r w:rsidRPr="00020852">
        <w:fldChar w:fldCharType="end"/>
      </w:r>
      <w:r>
        <w:br/>
        <w:t>Fraudulent Transfer</w:t>
      </w:r>
      <w:r>
        <w:br/>
        <w:t>(Uniform Fraudulent Transfer Act—Civil Code, § 3439 et seq.)</w:t>
      </w:r>
      <w:bookmarkEnd w:id="138"/>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December 12,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Section 23.4</w:t>
      </w:r>
      <w:r w:rsidR="003C4D76" w:rsidRPr="00D87E71">
        <w:t xml:space="preserve"> of the </w:t>
      </w:r>
      <w:bookmarkStart w:id="222" w:name="_Hlk44316048"/>
      <w:r>
        <w:rPr>
          <w:rFonts w:cs="Times New Roman"/>
          <w:szCs w:val="24"/>
        </w:rPr>
        <w:t>Service Agreement</w:t>
      </w:r>
      <w:bookmarkEnd w:id="222"/>
      <w:r w:rsidR="003C4D76" w:rsidRPr="00D87E71">
        <w:t xml:space="preserve">. </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Chin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