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Adler v. Greenbriar Neighborhood</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owns the real property located at 6 Shelburne St.
          <w:br/>
          Ladera Ranch, CA 92694 (the "Property"), which is a condominium situated within the Greenbriar Neighborhood Corporation. 
          <w:br/>
          <w:br/>
          His dispute with the HOA relates to the ongoing selective enforcement of the parking rules and regulations. Specifically, Client reported one of his neighbors who was a repeat parking offender. A board member, also a repeat offender, informed that neighbor that it was indeed Client who submitted the complaint. Consequently, both the HOA and the neighbor have targeted Client. This neighbor routinely has his dog defecate in front of the Property. The board member verbally attacked Client. 
          <w:br/>
          <w:br/>
          Client was a combat veteran. He suffers from PTSD and the deteriorating situation with the HOA board and his neighbor has impacted his mental health substantially. As a result, Client has been deprived the enjoyment of the Property and seeks a combination of both injunctive relief and monetary compensation.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1496" w:rsidP="0054507B">
            <w:pPr>
              <w:spacing w:afterLines="0" w:after="0"/>
              <w:rPr>
                <w:rFonts w:cs="Times New Roman"/>
                <w:sz w:val="20"/>
                <w:szCs w:val="20"/>
              </w:rPr>
            </w:pPr>
            <w:r>
              <w:rPr>
                <w:rFonts w:cs="Times New Roman"/>
                <w:sz w:val="20"/>
                <w:szCs w:val="20"/>
              </w:rPr>
              <w:t>Jayson Adler</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1496" w:rsidP="0054507B">
            <w:pPr>
              <w:spacing w:afterLines="0" w:after="0"/>
              <w:rPr>
                <w:rFonts w:cs="Times New Roman"/>
                <w:sz w:val="20"/>
                <w:szCs w:val="20"/>
              </w:rPr>
            </w:pPr>
            <w:r>
              <w:rPr>
                <w:rFonts w:cs="Times New Roman"/>
                <w:sz w:val="20"/>
                <w:szCs w:val="20"/>
              </w:rPr>
              <w:t>Greenbriar Neighborhood Corporation (the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1496"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Prun</w:t>
      </w:r>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Article XXI, Section 7</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r w:rsidR="00B84E98">
        <w:rPr>
          <w:rFonts w:cs="Times New Roman"/>
          <w:bCs/>
          <w:szCs w:val="24"/>
        </w:rPr>
        <w:t>HOA’s</w:t>
      </w:r>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If the plaintiff can prove that the HOA failed to allow him or her to inspect the records, the plaintiff can obtain injunctive relief ordering the HOA to allow the inspection. Additionally, if the HOA’s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XXI, Section 1</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Adler v. Greenbriar Neighborhood</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