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Rivera et al v. Mobilini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SS</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
          Client Cathy A. Calfas ("Calfas") and Juan B. Rivera ("Rivera") (collectively, "Rivera") have a pending lawsuit against their neighbor Tiziana Mobilini and Andrew Mobilini ("Defendants") in Solano County, Case No.  CU23-02059.
          <w:br/>
          Client owns the real property located at 1133 Beelard Drive in Vacaville, CA 95687 (the "Property"). Defendants repeatedly entered Client’s backyard without permission, often at night with flashlights. They also installed multiple surveillance cameras aimed at various parts of the Property. Defendants large trees whose roots and leaves encroach onto Client’s property. Despite promises, they did not address the issue, which forced Client to take matters into his own hands, resulting in a personal injury when he was struck in the eye by a branch.
          <w:br/>
          <w:br/>
          Client’s claims against the Defendants are:
          <w:br/>
          (i) Trespass;
          <w:br/>
          (ii) Nuisance;
          <w:br/>
          (iii) Stalking;
          <w:br/>
          (iv) Breach of Declaration of CC&amp;amp;Rs; and 
          <w:br/>
          (v) injunctive relief.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Cathy A. Calfas and Juan B. Rivera</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Tiziana Mobilini and Andrew Mobilini ("Defendants")</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Defendants</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031055CF" w14:textId="5CA252A1" w:rsidR="00977CF1" w:rsidRDefault="006C1630" w:rsidP="00977CF1">
      <w:pPr>
        <w:spacing w:after="264"/>
      </w:pPr>
      <w:r>
        <w:rPr>
          <w:rFonts w:cs="Times New Roman"/>
          <w:szCs w:val="24"/>
        </w:rPr>
        <w:t>Solano</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section 30</w:t>
      </w:r>
      <w:r w:rsidR="003C4D76" w:rsidRPr="00D87E71">
        <w:t xml:space="preserve"> of the </w:t>
      </w:r>
      <w:bookmarkStart w:id="222" w:name="_Hlk44316048"/>
      <w:r>
        <w:rPr>
          <w:rFonts w:cs="Times New Roman"/>
          <w:szCs w:val="24"/>
        </w:rPr>
        <w:t>CC&amp;amp;Rs</w:t>
      </w:r>
      <w:bookmarkEnd w:id="222"/>
      <w:r w:rsidR="003C4D76" w:rsidRPr="00D87E71">
        <w:t xml:space="preserve">. </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Rivera et al v. Mobilini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