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Shabani v. Stoneybrook Homeowners Association,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JR</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8557E" w:rsidP="00246DB4">
            <w:pPr>
              <w:spacing w:afterLines="0" w:after="0"/>
              <w:rPr>
                <w:rFonts w:ascii="Times New Roman" w:hAnsi="Times New Roman" w:cs="Times New Roman"/>
                <w:sz w:val="20"/>
                <w:szCs w:val="20"/>
              </w:rPr>
            </w:pPr>
            <w:r>
              <w:rPr>
                <w:rFonts w:cs="Times New Roman"/>
                <w:sz w:val="20"/>
                <w:szCs w:val="20"/>
              </w:rPr>
              <w:t>Farzaneh Shabani</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Stoneybrook Homeowners Association ("The HOA")</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The HOA</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John Murray ("Murray")</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President of the Board</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Client indicated that ***
Ask Client to provide more details regarding ***
Did Client ***</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Client indicated that *** . We want that document.</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Ask Client to provide all ***</w:t>
      </w:r>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Did Client show anyone ***? If so we need those pictures.</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October 1,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Ventura</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Ventura</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Shabani v. Stoneybrook Homeowners Association,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