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Santacroce adv. Mountain View Gardens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
          Client owns the real property located at 10884 Loro Verde Avenue, Loma Linda, CA 92354 (the "Property"), which is situated in the HOA community of 142 townhomes.
          <w:br/>
          <w:br/>
          Candance previously served on the HOA’s board of directors. Client contends that after Candance questioned the prior property management company’s dealings, she was removed from the board and targeted for various alleged violations at the Property, including a gate that Client contends has been up for 20 years as well as a perimeter fence and front patio. 
          <w:br/>
          <w:br/>
          To date, the HOA has fined Client the sum of $11,000 in fines regarding the gate, fence, and front patio. Client attended IDR with the HOA, but the HOA’s counsel circulated an IDR agreement that did not contain the agreed upon terms. Client declined to sign the IDR agreement and sought to enforce their rights and explore potential defenses and claims against the HOA.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D41496" w:rsidP="00EF2457">
            <w:pPr>
              <w:spacing w:afterLines="0" w:after="0"/>
              <w:rPr>
                <w:rFonts w:cs="Times New Roman"/>
                <w:sz w:val="20"/>
                <w:szCs w:val="20"/>
              </w:rPr>
            </w:pPr>
            <w:r>
              <w:rPr>
                <w:rFonts w:cs="Times New Roman"/>
                <w:sz w:val="20"/>
                <w:szCs w:val="20"/>
              </w:rPr>
              <w:t>Candance and David Santacroce</w:t>
            </w:r>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D41496" w:rsidP="00EF2457">
            <w:pPr>
              <w:spacing w:afterLines="0" w:after="0"/>
              <w:rPr>
                <w:rFonts w:cs="Times New Roman"/>
                <w:sz w:val="20"/>
                <w:szCs w:val="20"/>
              </w:rPr>
            </w:pPr>
            <w:r>
              <w:rPr>
                <w:rFonts w:cs="Times New Roman"/>
                <w:sz w:val="20"/>
                <w:szCs w:val="20"/>
              </w:rPr>
              <w:t>Mountain View Gardens Homeowners Association (the "HOA")</w:t>
            </w:r>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D41496" w:rsidP="00EF2457">
            <w:pPr>
              <w:spacing w:afterLines="0" w:after="0"/>
              <w:rPr>
                <w:rFonts w:cs="Times New Roman"/>
                <w:sz w:val="20"/>
                <w:szCs w:val="20"/>
              </w:rPr>
            </w:pPr>
            <w:r>
              <w:rPr>
                <w:rFonts w:cs="Times New Roman"/>
                <w:sz w:val="20"/>
                <w:szCs w:val="20"/>
              </w:rPr>
              <w:t>Mountain View Gardens Homeowners Association</w:t>
            </w:r>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D41496" w:rsidP="00EF2457">
            <w:pPr>
              <w:spacing w:afterLines="0" w:after="0"/>
              <w:rPr>
                <w:rFonts w:cs="Times New Roman"/>
                <w:sz w:val="20"/>
                <w:szCs w:val="20"/>
              </w:rPr>
            </w:pPr>
            <w:r>
              <w:rPr>
                <w:rFonts w:cs="Times New Roman"/>
                <w:sz w:val="20"/>
                <w:szCs w:val="20"/>
              </w:rPr>
              <w:t>Professional Community Management of California, Inc. ("PCM")</w:t>
            </w:r>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D41496" w:rsidP="00EF2457">
            <w:pPr>
              <w:spacing w:afterLines="0" w:after="0"/>
              <w:rPr>
                <w:rFonts w:cs="Times New Roman"/>
                <w:sz w:val="20"/>
                <w:szCs w:val="20"/>
              </w:rPr>
            </w:pPr>
            <w:r>
              <w:rPr>
                <w:rFonts w:cs="Times New Roman"/>
                <w:sz w:val="20"/>
                <w:szCs w:val="20"/>
              </w:rPr>
              <w:t>Management Company</w:t>
            </w:r>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D41496" w:rsidP="00EF2457">
            <w:pPr>
              <w:spacing w:afterLines="0" w:after="0"/>
              <w:rPr>
                <w:rFonts w:cs="Times New Roman"/>
                <w:sz w:val="20"/>
                <w:szCs w:val="20"/>
              </w:rPr>
            </w:pPr>
            <w:r>
              <w:rPr>
                <w:rFonts w:cs="Times New Roman"/>
                <w:sz w:val="20"/>
                <w:szCs w:val="20"/>
              </w:rPr>
              <w:t>Jeffrey Beaumont ("Beaumont")</w:t>
            </w:r>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D41496" w:rsidP="00EF2457">
            <w:pPr>
              <w:spacing w:afterLines="0" w:after="0"/>
              <w:rPr>
                <w:rFonts w:cs="Times New Roman"/>
                <w:sz w:val="20"/>
                <w:szCs w:val="20"/>
              </w:rPr>
            </w:pPr>
            <w:r>
              <w:rPr>
                <w:rFonts w:cs="Times New Roman"/>
                <w:sz w:val="20"/>
                <w:szCs w:val="20"/>
              </w:rPr>
              <w:t>HOA’s Counsel</w:t>
            </w:r>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r>
        <w:rPr>
          <w:rFonts w:cs="Times New Roman"/>
          <w:bCs/>
          <w:szCs w:val="24"/>
        </w:rPr>
        <w:t>Article XI, Section 8</w:t>
      </w:r>
      <w:r w:rsidRPr="007E2199">
        <w:rPr>
          <w:rFonts w:cs="Times New Roman"/>
          <w:bCs/>
          <w:szCs w:val="24"/>
        </w:rPr>
        <w:t xml:space="preserve"> 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Agam v. Gavra</w:t>
      </w:r>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XI, Section 14</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Santacroce adv. Mountain View Gardens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