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Indrukusumo v. Eleven Ten Owners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Fannic Indrukusumo</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Eleven Ten 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2" w:name="_Toc130368730"/>
      <w:r w:rsidRPr="00020852">
        <w:fldChar w:fldCharType="end"/>
      </w:r>
      <w:r w:rsidR="000B75CA">
        <w:br/>
      </w:r>
      <w:r w:rsidRPr="00020852">
        <w:t>Failure to Permit Inspection of Records</w:t>
      </w:r>
      <w:bookmarkEnd w:id="72"/>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3" w:name="_Hlk57621136"/>
      <w:r w:rsidRPr="00020852">
        <w:rPr>
          <w:rFonts w:cs="Times New Roman"/>
          <w:bCs/>
          <w:szCs w:val="24"/>
        </w:rPr>
        <w:t>A claim for failing to allow the records to be inspected must be brought within three years. (Code Civ. Proc., § 338(a).)</w:t>
      </w:r>
      <w:bookmarkEnd w:id="73"/>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Indrukusumo v. Eleven Ten Owners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