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Frankel v. Rondell Condos</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Client has owned the real property located at 4039 Liberty Canyon Road, Agoura Hills, CA 91301 (the "Property") for over 20 years. 
          <w:br/>
          <w:br/>
          In January 2024, the HOA’s contractor was negligent and caused a fire that affected three homes, including the Property.
          <w:br/>
          <w:br/>
          Since then, the HOA and its insurance carrier have been negligent to rebuild despite assuring Client that it would do so. In the midst of all this, Client’s husband passed away in 2025. 
          <w:br/>
          <w:br/>
          Due to the HOA’s prolonged and unreasonable delays, Client has not had the use and enjoyment of the Property for more than two and a half years. She seeks to pursue the HOA for all her damages not covered by her own personal homeowner’s insurance, which at this point is unclear based on the HOA’s lack of communication.
          <w:br/>
          <w:br/>
          Upon retaining the Firm, we sent a notice of representation to the HOA’s general counsel, Matt Ober as well as a courtesy copy to the HOA’s master insurance, State Farm, and the HOA’s umbrella carrier, Federal Insurance Company. State Farm responded and indicated it was in the process of assigning defense counsel, but the Firm has not received any further communication.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E14AB1" w:rsidRPr="007C6F41" w14:paraId="30D0350C" w14:textId="77777777" w:rsidTr="00F53050">
        <w:trPr>
          <w:trHeight w:val="863"/>
        </w:trPr>
        <w:tc>
          <w:tcPr>
            <w:tcW w:w="5215" w:type="dxa"/>
            <w:shd w:val="clear" w:color="auto" w:fill="BDD6EE" w:themeFill="accent1" w:themeFillTint="66"/>
            <w:vAlign w:val="center"/>
          </w:tcPr>
          <w:p w14:paraId="5A1AA085" w14:textId="77777777" w:rsidR="00E14AB1" w:rsidRPr="007C6F41" w:rsidRDefault="00E14AB1" w:rsidP="00EF2457">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45B7A20A" w14:textId="22618157" w:rsidR="00E14AB1" w:rsidRPr="007C6F41" w:rsidRDefault="00B71E52" w:rsidP="00EF2457">
            <w:pPr>
              <w:spacing w:afterLines="0" w:after="0"/>
              <w:rPr>
                <w:rFonts w:cs="Times New Roman"/>
                <w:b/>
              </w:rPr>
            </w:pPr>
            <w:r w:rsidRPr="007C6F41">
              <w:rPr>
                <w:rFonts w:cs="Times New Roman"/>
                <w:b/>
              </w:rPr>
              <w:t>Significance to Underlying Matter/Dispute</w:t>
            </w:r>
          </w:p>
        </w:tc>
      </w:tr>
      <w:tr w:rsidR="00E14AB1" w:rsidRPr="007C6F41" w14:paraId="4DD5AE3B" w14:textId="77777777" w:rsidTr="00964F25">
        <w:tc>
          <w:tcPr>
            <w:tcW w:w="5215" w:type="dxa"/>
            <w:vAlign w:val="center"/>
          </w:tcPr>
          <w:p w14:paraId="2F5AFB95" w14:textId="0732B42D" w:rsidR="00E14AB1" w:rsidRPr="007C6F41" w:rsidRDefault="00D41496" w:rsidP="00EF2457">
            <w:pPr>
              <w:spacing w:afterLines="0" w:after="0"/>
              <w:rPr>
                <w:rFonts w:cs="Times New Roman"/>
                <w:sz w:val="20"/>
                <w:szCs w:val="20"/>
              </w:rPr>
            </w:pPr>
            <w:r>
              <w:rPr>
                <w:rFonts w:cs="Times New Roman"/>
                <w:sz w:val="20"/>
                <w:szCs w:val="20"/>
              </w:rPr>
              <w:t>Chris Frankel</w:t>
            </w:r>
            <w:r w:rsidR="006C37BD">
              <w:rPr>
                <w:rFonts w:cs="Times New Roman"/>
                <w:sz w:val="20"/>
                <w:szCs w:val="20"/>
              </w:rPr>
              <w:t xml:space="preserve"> (“Client”)</w:t>
            </w:r>
          </w:p>
        </w:tc>
        <w:tc>
          <w:tcPr>
            <w:tcW w:w="5490" w:type="dxa"/>
            <w:vAlign w:val="center"/>
          </w:tcPr>
          <w:p w14:paraId="236B2E1F" w14:textId="529B61D7" w:rsidR="00EC6A14" w:rsidRPr="007C6F41" w:rsidRDefault="006C37BD" w:rsidP="00EF2457">
            <w:pPr>
              <w:spacing w:afterLines="0" w:after="0"/>
              <w:rPr>
                <w:rFonts w:cs="Times New Roman"/>
                <w:sz w:val="20"/>
                <w:szCs w:val="20"/>
              </w:rPr>
            </w:pPr>
            <w:r>
              <w:rPr>
                <w:rFonts w:cs="Times New Roman"/>
                <w:sz w:val="20"/>
                <w:szCs w:val="20"/>
              </w:rPr>
              <w:t xml:space="preserve"> </w:t>
            </w:r>
          </w:p>
          <w:p w14:paraId="6DEE4A35" w14:textId="2BD30692" w:rsidR="00E14AB1" w:rsidRPr="007C6F41" w:rsidRDefault="00E14AB1" w:rsidP="00EF2457">
            <w:pPr>
              <w:spacing w:afterLines="0" w:after="0"/>
              <w:rPr>
                <w:rFonts w:cs="Times New Roman"/>
                <w:sz w:val="20"/>
                <w:szCs w:val="20"/>
              </w:rPr>
            </w:pPr>
            <w:r w:rsidRPr="007C6F41">
              <w:rPr>
                <w:rFonts w:cs="Times New Roman"/>
                <w:sz w:val="20"/>
                <w:szCs w:val="20"/>
              </w:rPr>
              <w:t>Client / HOA Member</w:t>
            </w:r>
          </w:p>
          <w:p w14:paraId="50725939" w14:textId="67096180" w:rsidR="004D6471" w:rsidRPr="007C6F41" w:rsidRDefault="004D6471" w:rsidP="00EF2457">
            <w:pPr>
              <w:spacing w:afterLines="0" w:after="0"/>
              <w:rPr>
                <w:rFonts w:cs="Times New Roman"/>
                <w:sz w:val="20"/>
                <w:szCs w:val="20"/>
              </w:rPr>
            </w:pPr>
          </w:p>
        </w:tc>
      </w:tr>
      <w:tr w:rsidR="000375D2" w:rsidRPr="007C6F41" w14:paraId="18B56964" w14:textId="77777777" w:rsidTr="00964F25">
        <w:tc>
          <w:tcPr>
            <w:tcW w:w="5215" w:type="dxa"/>
            <w:vAlign w:val="center"/>
          </w:tcPr>
          <w:p w14:paraId="4D977C58" w14:textId="6D7BAC66" w:rsidR="000375D2" w:rsidRPr="007C6F41" w:rsidRDefault="00D41496" w:rsidP="00EF2457">
            <w:pPr>
              <w:spacing w:afterLines="0" w:after="0"/>
              <w:rPr>
                <w:rFonts w:cs="Times New Roman"/>
                <w:sz w:val="20"/>
                <w:szCs w:val="20"/>
              </w:rPr>
            </w:pPr>
            <w:r>
              <w:rPr>
                <w:rFonts w:cs="Times New Roman"/>
                <w:sz w:val="20"/>
                <w:szCs w:val="20"/>
              </w:rPr>
              <w:t>Rondell Condo Owners Association ("HOA")</w:t>
            </w:r>
          </w:p>
        </w:tc>
        <w:tc>
          <w:tcPr>
            <w:tcW w:w="5490" w:type="dxa"/>
            <w:vAlign w:val="center"/>
          </w:tcPr>
          <w:p w14:paraId="4915B2A1" w14:textId="77777777" w:rsidR="00EC6A14" w:rsidRPr="007C6F41" w:rsidRDefault="00EC6A14" w:rsidP="00EF2457">
            <w:pPr>
              <w:spacing w:afterLines="0" w:after="0"/>
              <w:rPr>
                <w:rFonts w:cs="Times New Roman"/>
                <w:sz w:val="20"/>
                <w:szCs w:val="20"/>
              </w:rPr>
            </w:pPr>
          </w:p>
          <w:p w14:paraId="7DE41C26" w14:textId="21CFC3D2" w:rsidR="000375D2" w:rsidRPr="007C6F41" w:rsidRDefault="00D41496" w:rsidP="00EF2457">
            <w:pPr>
              <w:spacing w:afterLines="0" w:after="0"/>
              <w:rPr>
                <w:rFonts w:cs="Times New Roman"/>
                <w:sz w:val="20"/>
                <w:szCs w:val="20"/>
              </w:rPr>
            </w:pPr>
            <w:r>
              <w:rPr>
                <w:rFonts w:cs="Times New Roman"/>
                <w:sz w:val="20"/>
                <w:szCs w:val="20"/>
              </w:rPr>
              <w:t>HOA</w:t>
            </w:r>
          </w:p>
          <w:p w14:paraId="478A1E33" w14:textId="69A1C3DE" w:rsidR="004D6471" w:rsidRPr="007C6F41" w:rsidRDefault="004D6471" w:rsidP="00EF2457">
            <w:pPr>
              <w:spacing w:afterLines="0" w:after="0"/>
              <w:rPr>
                <w:rFonts w:cs="Times New Roman"/>
                <w:sz w:val="20"/>
                <w:szCs w:val="20"/>
              </w:rPr>
            </w:pPr>
          </w:p>
        </w:tc>
      </w:tr>
      <w:tr w:rsidR="000375D2" w:rsidRPr="007C6F41" w14:paraId="7F18E30E" w14:textId="77777777" w:rsidTr="00964F25">
        <w:tc>
          <w:tcPr>
            <w:tcW w:w="5215" w:type="dxa"/>
            <w:vAlign w:val="center"/>
          </w:tcPr>
          <w:p w14:paraId="06949F07" w14:textId="29FE541B" w:rsidR="000375D2" w:rsidRPr="007C6F41" w:rsidRDefault="00D41496" w:rsidP="00EF2457">
            <w:pPr>
              <w:spacing w:afterLines="0" w:after="0"/>
              <w:rPr>
                <w:rFonts w:cs="Times New Roman"/>
                <w:sz w:val="20"/>
                <w:szCs w:val="20"/>
              </w:rPr>
            </w:pPr>
            <w:r>
              <w:rPr>
                <w:rFonts w:cs="Times New Roman"/>
                <w:sz w:val="20"/>
                <w:szCs w:val="20"/>
              </w:rPr>
              <w:t>Stat Farm Insurance</w:t>
            </w:r>
          </w:p>
        </w:tc>
        <w:tc>
          <w:tcPr>
            <w:tcW w:w="5490" w:type="dxa"/>
            <w:vAlign w:val="center"/>
          </w:tcPr>
          <w:p w14:paraId="29255B8B" w14:textId="77777777" w:rsidR="00EC6A14" w:rsidRPr="007C6F41" w:rsidRDefault="00EC6A14" w:rsidP="00EF2457">
            <w:pPr>
              <w:spacing w:afterLines="0" w:after="0"/>
              <w:rPr>
                <w:rFonts w:cs="Times New Roman"/>
                <w:sz w:val="20"/>
                <w:szCs w:val="20"/>
              </w:rPr>
            </w:pPr>
          </w:p>
          <w:p w14:paraId="5E5B81DB" w14:textId="0FC786B4" w:rsidR="000375D2" w:rsidRPr="007C6F41" w:rsidRDefault="00D41496" w:rsidP="00EF2457">
            <w:pPr>
              <w:spacing w:afterLines="0" w:after="0"/>
              <w:rPr>
                <w:rFonts w:cs="Times New Roman"/>
                <w:sz w:val="20"/>
                <w:szCs w:val="20"/>
              </w:rPr>
            </w:pPr>
            <w:r>
              <w:rPr>
                <w:rFonts w:cs="Times New Roman"/>
                <w:sz w:val="20"/>
                <w:szCs w:val="20"/>
              </w:rPr>
              <w:t>HOA Master Policy Insurance Company</w:t>
            </w:r>
          </w:p>
          <w:p w14:paraId="0EA5862B" w14:textId="7E13F2EE" w:rsidR="004D6471" w:rsidRPr="007C6F41" w:rsidRDefault="004D6471" w:rsidP="00EF2457">
            <w:pPr>
              <w:spacing w:afterLines="0" w:after="0"/>
              <w:rPr>
                <w:rFonts w:cs="Times New Roman"/>
                <w:sz w:val="20"/>
                <w:szCs w:val="20"/>
              </w:rPr>
            </w:pPr>
          </w:p>
        </w:tc>
      </w:tr>
      <w:tr w:rsidR="00E4074A" w:rsidRPr="0076627F" w14:paraId="615EE147" w14:textId="77777777" w:rsidTr="00964F25">
        <w:tc>
          <w:tcPr>
            <w:tcW w:w="5215" w:type="dxa"/>
            <w:vAlign w:val="center"/>
          </w:tcPr>
          <w:p w14:paraId="25DD17C5" w14:textId="77777777" w:rsidR="00EC6A14" w:rsidRPr="007C6F41" w:rsidRDefault="00EC6A14" w:rsidP="00EF2457">
            <w:pPr>
              <w:spacing w:afterLines="0" w:after="0"/>
              <w:rPr>
                <w:rFonts w:cs="Times New Roman"/>
                <w:sz w:val="20"/>
                <w:szCs w:val="20"/>
              </w:rPr>
            </w:pPr>
          </w:p>
          <w:p w14:paraId="12C3422C" w14:textId="351B4E94" w:rsidR="00E4074A" w:rsidRPr="007C6F41" w:rsidRDefault="00D41496" w:rsidP="00EF2457">
            <w:pPr>
              <w:spacing w:afterLines="0" w:after="0"/>
              <w:rPr>
                <w:rFonts w:cs="Times New Roman"/>
                <w:sz w:val="20"/>
                <w:szCs w:val="20"/>
              </w:rPr>
            </w:pPr>
            <w:r>
              <w:rPr>
                <w:rFonts w:cs="Times New Roman"/>
                <w:sz w:val="20"/>
                <w:szCs w:val="20"/>
              </w:rPr>
              <w:t>Federal Insurance Company</w:t>
            </w:r>
          </w:p>
          <w:p w14:paraId="7EFC78F0" w14:textId="634CC234" w:rsidR="00EC6A14" w:rsidRPr="007C6F41" w:rsidRDefault="00EC6A14" w:rsidP="00EF2457">
            <w:pPr>
              <w:spacing w:afterLines="0" w:after="0"/>
              <w:rPr>
                <w:rFonts w:cs="Times New Roman"/>
                <w:sz w:val="20"/>
                <w:szCs w:val="20"/>
              </w:rPr>
            </w:pPr>
          </w:p>
        </w:tc>
        <w:tc>
          <w:tcPr>
            <w:tcW w:w="5490" w:type="dxa"/>
            <w:vAlign w:val="center"/>
          </w:tcPr>
          <w:p w14:paraId="5889FE11" w14:textId="063ACCBC" w:rsidR="00BE557F" w:rsidRDefault="00BE557F" w:rsidP="00EF2457">
            <w:pPr>
              <w:spacing w:afterLines="0" w:after="0"/>
              <w:rPr>
                <w:rFonts w:cs="Times New Roman"/>
                <w:sz w:val="20"/>
                <w:szCs w:val="20"/>
              </w:rPr>
            </w:pPr>
          </w:p>
          <w:p w14:paraId="299F3ABF" w14:textId="1A014FFC" w:rsidR="00E4074A" w:rsidRPr="007C6F41" w:rsidRDefault="00D41496" w:rsidP="00EF2457">
            <w:pPr>
              <w:spacing w:afterLines="0" w:after="0"/>
              <w:rPr>
                <w:rFonts w:cs="Times New Roman"/>
                <w:sz w:val="20"/>
                <w:szCs w:val="20"/>
              </w:rPr>
            </w:pPr>
            <w:r>
              <w:rPr>
                <w:rFonts w:cs="Times New Roman"/>
                <w:sz w:val="20"/>
                <w:szCs w:val="20"/>
              </w:rPr>
              <w:t>HOA Umbrella Insurance Company</w:t>
            </w:r>
          </w:p>
          <w:p w14:paraId="36B88F51" w14:textId="6F0B8FF9" w:rsidR="00EC6A14" w:rsidRPr="007C6F41" w:rsidRDefault="00EC6A14" w:rsidP="00EF2457">
            <w:pPr>
              <w:spacing w:afterLines="0" w:after="0"/>
              <w:rPr>
                <w:rFonts w:cs="Times New Roman"/>
                <w:sz w:val="20"/>
                <w:szCs w:val="20"/>
              </w:rPr>
            </w:pPr>
          </w:p>
        </w:tc>
      </w:tr>
    </w:tbl>
    <w:p w14:paraId="0EA2D9BC" w14:textId="041E21D8"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5902569" w14:textId="32362D58" w:rsidR="00DC2DC5" w:rsidRDefault="00E33732" w:rsidP="00DC2DC5">
      <w:pPr>
        <w:pStyle w:val="NormalEnd"/>
        <w:spacing w:after="264"/>
      </w:pPr>
      <w:r>
        <w:t>At this time, the Firm does not need Client to provide any additional information or clarification. This section of the Preliminary Analysis may, however, be amended from time to time as new information/questions arise.</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040F7531" w14:textId="0494B0BB" w:rsidR="00E94B60" w:rsidRDefault="00E94B60" w:rsidP="00CD069B">
      <w:pPr>
        <w:pStyle w:val="NormalEnd"/>
        <w:spacing w:after="264"/>
        <w:rPr>
          <w:rStyle w:val="property1"/>
          <w:rFonts w:eastAsia="Times New Roman" w:cs="Times New Roman"/>
          <w:szCs w:val="24"/>
        </w:rPr>
      </w:pPr>
      <w:r>
        <w:t>Although a Civil Code section 5200 demand went out, the HOA has not yet produced the documents. Once that occurs, the Firm will complete a thorough review of those documents to determine whether any that should’ve been produced are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6B7BE2EA" w14:textId="63A56741" w:rsidR="0076752F" w:rsidRDefault="00D00717" w:rsidP="0038079C">
      <w:pPr>
        <w:pStyle w:val="NormalEnd"/>
        <w:spacing w:after="264"/>
      </w:pPr>
      <w:r>
        <w:t>None at the moment.</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BA5277" w:rsidRPr="00CC0856">
        <w:rPr>
          <w:rStyle w:val="Heading1Char"/>
        </w:rPr>
        <w:t>Potential Causes of Action and the Strength</w:t>
      </w:r>
      <w:r w:rsidR="002857CC" w:rsidRPr="00CC0856">
        <w:rPr>
          <w:rStyle w:val="Heading1Char"/>
        </w:rPr>
        <w:t>s</w:t>
      </w:r>
      <w:r w:rsidR="00BA5277" w:rsidRPr="00CC0856">
        <w:rPr>
          <w:rStyle w:val="Heading1Char"/>
        </w:rPr>
        <w:t>/Weaknesses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p w14:paraId="03D8BE70" w14:textId="01A9BBE2" w:rsidR="00A75054" w:rsidRDefault="00E02E28" w:rsidP="000A2D54">
      <w:pPr>
        <w:spacing w:after="264"/>
        <w:ind w:left="1080" w:hanging="360"/>
        <w:rPr>
          <w:rFonts w:cs="Times New Roman"/>
          <w:bCs/>
          <w:szCs w:val="24"/>
        </w:rPr>
      </w:pPr>
      <w:r>
        <w:rPr>
          <w:rFonts w:cs="Times New Roman"/>
          <w:bCs/>
          <w:szCs w:val="24"/>
        </w:rPr>
        <w:t xml:space="preserve">—  </w:t>
      </w:r>
      <w:r w:rsidR="00A321DF" w:rsidRPr="00E44C81">
        <w:rPr>
          <w:rFonts w:cs="Times New Roman"/>
          <w:bCs/>
          <w:szCs w:val="24"/>
        </w:rPr>
        <w:t xml:space="preserve">One of the fundamental duties of </w:t>
      </w:r>
      <w:r w:rsidR="006419DB" w:rsidRPr="00E44C81">
        <w:rPr>
          <w:rFonts w:cs="Times New Roman"/>
          <w:bCs/>
          <w:szCs w:val="24"/>
        </w:rPr>
        <w:t>an HOA</w:t>
      </w:r>
      <w:r w:rsidR="00A321DF" w:rsidRPr="00E44C81">
        <w:rPr>
          <w:rFonts w:cs="Times New Roman"/>
          <w:bCs/>
          <w:szCs w:val="24"/>
        </w:rPr>
        <w:t xml:space="preserve"> is to maintain the common areas. (Civ. Code</w:t>
      </w:r>
      <w:r w:rsidR="004D23A6" w:rsidRPr="00E44C81">
        <w:rPr>
          <w:rFonts w:cs="Times New Roman"/>
          <w:bCs/>
          <w:szCs w:val="24"/>
        </w:rPr>
        <w:t>,</w:t>
      </w:r>
      <w:r w:rsidR="00A321DF" w:rsidRPr="00E44C81">
        <w:rPr>
          <w:rFonts w:cs="Times New Roman"/>
          <w:bCs/>
          <w:szCs w:val="24"/>
        </w:rPr>
        <w:t xml:space="preserve"> § 4775.) In performing its duties, an association shall perform a reasonably competent and diligent visual inspection of the accessible areas of the major components that the association is obligated to repair, replace, restore or maintain. (Civ. Code</w:t>
      </w:r>
      <w:r w:rsidR="004D23A6" w:rsidRPr="00E44C81">
        <w:rPr>
          <w:rFonts w:cs="Times New Roman"/>
          <w:bCs/>
          <w:szCs w:val="24"/>
        </w:rPr>
        <w:t>,</w:t>
      </w:r>
      <w:r w:rsidR="00A321DF" w:rsidRPr="00E44C81">
        <w:rPr>
          <w:rFonts w:cs="Times New Roman"/>
          <w:bCs/>
          <w:szCs w:val="24"/>
        </w:rPr>
        <w:t xml:space="preserve"> § 5500(a).)</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6CF9D9A" w14:textId="77777777" w:rsidR="003F0E15" w:rsidRDefault="00E50C84" w:rsidP="00E13C80">
      <w:pPr>
        <w:pStyle w:val="Heading2"/>
        <w:spacing w:after="264"/>
        <w:rPr>
          <w:sz w:val="24"/>
          <w:szCs w:val="24"/>
        </w:rPr>
      </w:pPr>
      <w:r w:rsidRPr="00B5197D">
        <w:fldChar w:fldCharType="begin"/>
      </w:r>
      <w:r w:rsidRPr="00B5197D">
        <w:instrText xml:space="preserve"> LISTNUM LegalDefault \l 2 </w:instrText>
      </w:r>
      <w:r w:rsidRPr="00B5197D">
        <w:fldChar w:fldCharType="end"/>
      </w:r>
      <w:r w:rsidR="006669B8">
        <w:br/>
      </w:r>
      <w:r w:rsidRPr="00B5197D">
        <w:t>Breach of Other Governing Documents</w:t>
      </w:r>
    </w:p>
    <w:p w14:paraId="2BC217B0" w14:textId="77777777" w:rsidR="003F0E15" w:rsidRDefault="00A6633C" w:rsidP="00D07B77">
      <w:pPr>
        <w:spacing w:after="264"/>
        <w:rPr>
          <w:rFonts w:cs="Times New Roman"/>
          <w:bCs/>
          <w:szCs w:val="24"/>
        </w:rPr>
      </w:pPr>
      <w:r w:rsidRPr="00A6633C">
        <w:rPr>
          <w:rFonts w:cs="Times New Roman"/>
          <w:bCs/>
          <w:szCs w:val="24"/>
          <w:u w:val="single"/>
        </w:rPr>
        <w:t>Elements</w:t>
      </w:r>
      <w:r>
        <w:rPr>
          <w:rFonts w:cs="Times New Roman"/>
          <w:bCs/>
          <w:szCs w:val="24"/>
        </w:rPr>
        <w:t>—</w:t>
      </w:r>
      <w:r w:rsidR="00ED2271">
        <w:rPr>
          <w:rFonts w:cs="Times New Roman"/>
          <w:bCs/>
          <w:szCs w:val="24"/>
        </w:rPr>
        <w:t>Breach of Articles, Bylaws, Rules, Etc.</w:t>
      </w:r>
    </w:p>
    <w:p w14:paraId="1A7BC540" w14:textId="77777777" w:rsidR="003F0E15" w:rsidRDefault="00D07B77" w:rsidP="00D07B77">
      <w:pPr>
        <w:spacing w:after="264"/>
        <w:ind w:left="1080" w:hanging="360"/>
        <w:rPr>
          <w:rFonts w:cs="Times New Roman"/>
          <w:bCs/>
          <w:szCs w:val="24"/>
        </w:rPr>
      </w:pPr>
      <w:r>
        <w:rPr>
          <w:rFonts w:cs="Times New Roman"/>
          <w:bCs/>
          <w:szCs w:val="24"/>
        </w:rPr>
        <w:t xml:space="preserve">—  </w:t>
      </w:r>
      <w:r w:rsidR="003E047F" w:rsidRPr="00A6633C">
        <w:rPr>
          <w:rFonts w:cs="Times New Roman"/>
          <w:bCs/>
          <w:szCs w:val="24"/>
        </w:rPr>
        <w:t>Civil</w:t>
      </w:r>
      <w:r w:rsidR="003E047F" w:rsidRPr="003E047F">
        <w:rPr>
          <w:rFonts w:cs="Times New Roman"/>
          <w:bCs/>
          <w:szCs w:val="24"/>
        </w:rPr>
        <w:t xml:space="preserve"> Code section 5975(a) makes the CC&amp;Rs enforceable as an equitable servitude. Articles, </w:t>
      </w:r>
      <w:r w:rsidR="003E047F">
        <w:rPr>
          <w:rFonts w:cs="Times New Roman"/>
          <w:bCs/>
          <w:szCs w:val="24"/>
        </w:rPr>
        <w:t>b</w:t>
      </w:r>
      <w:r w:rsidR="003E047F" w:rsidRPr="003E047F">
        <w:rPr>
          <w:rFonts w:cs="Times New Roman"/>
          <w:bCs/>
          <w:szCs w:val="24"/>
        </w:rPr>
        <w:t xml:space="preserve">ylaws, and </w:t>
      </w:r>
      <w:r w:rsidR="003E047F">
        <w:rPr>
          <w:rFonts w:cs="Times New Roman"/>
          <w:bCs/>
          <w:szCs w:val="24"/>
        </w:rPr>
        <w:t>r</w:t>
      </w:r>
      <w:r w:rsidR="003E047F" w:rsidRPr="003E047F">
        <w:rPr>
          <w:rFonts w:cs="Times New Roman"/>
          <w:bCs/>
          <w:szCs w:val="24"/>
        </w:rPr>
        <w:t xml:space="preserve">ules (defined as governing document in </w:t>
      </w:r>
      <w:r w:rsidR="001D55F9">
        <w:rPr>
          <w:rFonts w:cs="Times New Roman"/>
          <w:bCs/>
          <w:szCs w:val="24"/>
        </w:rPr>
        <w:t>Civ. Code,</w:t>
      </w:r>
      <w:r w:rsidR="003E047F" w:rsidRPr="003E047F">
        <w:rPr>
          <w:rFonts w:cs="Times New Roman"/>
          <w:bCs/>
          <w:szCs w:val="24"/>
        </w:rPr>
        <w:t xml:space="preserve"> </w:t>
      </w:r>
      <w:r w:rsidR="004D23A6">
        <w:rPr>
          <w:rFonts w:cs="Times New Roman"/>
          <w:bCs/>
          <w:szCs w:val="24"/>
        </w:rPr>
        <w:t>§</w:t>
      </w:r>
      <w:r w:rsidR="003E047F" w:rsidRPr="003E047F">
        <w:rPr>
          <w:rFonts w:cs="Times New Roman"/>
          <w:bCs/>
          <w:szCs w:val="24"/>
        </w:rPr>
        <w:t xml:space="preserve"> 4150) are not in Davis-Stirling’s definition of equitable servitudes. </w:t>
      </w:r>
      <w:r w:rsidR="000E14A7">
        <w:rPr>
          <w:rFonts w:cs="Times New Roman"/>
          <w:bCs/>
          <w:szCs w:val="24"/>
        </w:rPr>
        <w:t>Civil Code section</w:t>
      </w:r>
      <w:r w:rsidR="003E047F" w:rsidRPr="003E047F">
        <w:rPr>
          <w:rFonts w:cs="Times New Roman"/>
          <w:bCs/>
          <w:szCs w:val="24"/>
        </w:rPr>
        <w:t xml:space="preserve"> 5975(b)</w:t>
      </w:r>
      <w:r w:rsidR="000E14A7">
        <w:rPr>
          <w:rFonts w:cs="Times New Roman"/>
          <w:bCs/>
          <w:szCs w:val="24"/>
        </w:rPr>
        <w:t>, however,</w:t>
      </w:r>
      <w:r w:rsidR="003E047F" w:rsidRPr="003E047F">
        <w:rPr>
          <w:rFonts w:cs="Times New Roman"/>
          <w:bCs/>
          <w:szCs w:val="24"/>
        </w:rPr>
        <w:t xml:space="preserve"> authorizes enforcement of the other governing documents such as bylaws, articles, and rules by an association against a homeowner, and by a homeowner against the association (</w:t>
      </w:r>
      <w:r w:rsidR="003E047F" w:rsidRPr="003E047F">
        <w:rPr>
          <w:rFonts w:cs="Times New Roman"/>
          <w:bCs/>
          <w:i/>
          <w:iCs/>
          <w:szCs w:val="24"/>
        </w:rPr>
        <w:t>but not by an owner against other owners</w:t>
      </w:r>
      <w:r w:rsidR="003E047F" w:rsidRPr="003E047F">
        <w:rPr>
          <w:rFonts w:cs="Times New Roman"/>
          <w:bCs/>
          <w:szCs w:val="24"/>
        </w:rPr>
        <w:t>).</w:t>
      </w:r>
    </w:p>
    <w:p w14:paraId="6C122FBE" w14:textId="77777777" w:rsidR="003F0E15" w:rsidRDefault="00805A7D" w:rsidP="00805A7D">
      <w:pPr>
        <w:spacing w:after="264"/>
        <w:rPr>
          <w:rFonts w:cs="Times New Roman"/>
          <w:bCs/>
          <w:szCs w:val="24"/>
        </w:rPr>
      </w:pPr>
      <w:r>
        <w:rPr>
          <w:rFonts w:cs="Times New Roman"/>
          <w:bCs/>
          <w:szCs w:val="24"/>
          <w:u w:val="single"/>
        </w:rPr>
        <w:lastRenderedPageBreak/>
        <w:t>Remedies</w:t>
      </w:r>
      <w:r>
        <w:rPr>
          <w:rFonts w:cs="Times New Roman"/>
          <w:bCs/>
          <w:szCs w:val="24"/>
        </w:rPr>
        <w:t>—</w:t>
      </w:r>
    </w:p>
    <w:p w14:paraId="77645244" w14:textId="77777777" w:rsidR="003F0E15" w:rsidRDefault="00805A7D" w:rsidP="00805A7D">
      <w:pPr>
        <w:spacing w:after="264"/>
        <w:ind w:left="1080" w:hanging="360"/>
        <w:rPr>
          <w:rFonts w:cs="Times New Roman"/>
          <w:bCs/>
          <w:szCs w:val="24"/>
        </w:rPr>
      </w:pPr>
      <w:r>
        <w:rPr>
          <w:rFonts w:cs="Times New Roman"/>
          <w:bCs/>
          <w:szCs w:val="24"/>
        </w:rPr>
        <w:t xml:space="preserve">—  </w:t>
      </w:r>
      <w:r w:rsidR="00A22BF6" w:rsidRPr="00A22BF6">
        <w:rPr>
          <w:rFonts w:cs="Times New Roman"/>
          <w:bCs/>
          <w:szCs w:val="24"/>
        </w:rPr>
        <w:t>While typically injunctive in nature, courts may fashion remedies to enjoin an</w:t>
      </w:r>
      <w:r w:rsidR="00A22BF6">
        <w:rPr>
          <w:rFonts w:cs="Times New Roman"/>
          <w:bCs/>
          <w:szCs w:val="24"/>
        </w:rPr>
        <w:t>y</w:t>
      </w:r>
      <w:r w:rsidR="00A22BF6" w:rsidRPr="00A22BF6">
        <w:rPr>
          <w:rFonts w:cs="Times New Roman"/>
          <w:bCs/>
          <w:szCs w:val="24"/>
        </w:rPr>
        <w:t xml:space="preserve"> ongoing breaches. (</w:t>
      </w:r>
      <w:r w:rsidR="00A22BF6" w:rsidRPr="00A22BF6">
        <w:rPr>
          <w:rFonts w:cs="Times New Roman"/>
          <w:bCs/>
          <w:i/>
          <w:iCs/>
          <w:szCs w:val="24"/>
        </w:rPr>
        <w:t>Ritter &amp; Ritter Inc. Pension and Profit Plan v. The Churchill Condominium Assn.</w:t>
      </w:r>
      <w:r w:rsidR="00A22BF6" w:rsidRPr="00A22BF6">
        <w:rPr>
          <w:rFonts w:cs="Times New Roman"/>
          <w:bCs/>
          <w:szCs w:val="24"/>
        </w:rPr>
        <w:t xml:space="preserve"> (2008) 166 Cal.App.4th 103.) Additionally, compensatory </w:t>
      </w:r>
      <w:r w:rsidR="00A22BF6">
        <w:rPr>
          <w:rFonts w:cs="Times New Roman"/>
          <w:bCs/>
          <w:szCs w:val="24"/>
        </w:rPr>
        <w:t xml:space="preserve">(money) damages </w:t>
      </w:r>
      <w:r w:rsidR="00A22BF6" w:rsidRPr="00A22BF6">
        <w:rPr>
          <w:rFonts w:cs="Times New Roman"/>
          <w:bCs/>
          <w:szCs w:val="24"/>
        </w:rPr>
        <w:t>are available if plaintiff incurred monetary damages. (</w:t>
      </w:r>
      <w:proofErr w:type="spellStart"/>
      <w:r w:rsidR="00A22BF6" w:rsidRPr="00A22BF6">
        <w:rPr>
          <w:rFonts w:cs="Times New Roman"/>
          <w:bCs/>
          <w:i/>
          <w:iCs/>
          <w:szCs w:val="24"/>
        </w:rPr>
        <w:t>Cutujian</w:t>
      </w:r>
      <w:proofErr w:type="spellEnd"/>
      <w:r w:rsidR="00A22BF6" w:rsidRPr="00A22BF6">
        <w:rPr>
          <w:rFonts w:cs="Times New Roman"/>
          <w:bCs/>
          <w:i/>
          <w:iCs/>
          <w:szCs w:val="24"/>
        </w:rPr>
        <w:t xml:space="preserve"> v. Benedict Hills Estates Assn.</w:t>
      </w:r>
      <w:r w:rsidR="00A22BF6" w:rsidRPr="00A22BF6">
        <w:rPr>
          <w:rFonts w:cs="Times New Roman"/>
          <w:bCs/>
          <w:szCs w:val="24"/>
        </w:rPr>
        <w:t xml:space="preserve"> (1996) 41 Cal.App.4th 1379, 1385; Civ. Code, §§ 3281, 3300.)</w:t>
      </w:r>
    </w:p>
    <w:p w14:paraId="613DFA43"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7E65BB9B" w14:textId="77777777" w:rsidR="003F0E15" w:rsidRDefault="00520066" w:rsidP="00520066">
      <w:pPr>
        <w:spacing w:after="264"/>
        <w:ind w:left="630" w:hanging="630"/>
        <w:rPr>
          <w:rFonts w:cs="Times New Roman"/>
          <w:bCs/>
          <w:szCs w:val="24"/>
        </w:rPr>
      </w:pPr>
      <w:r>
        <w:rPr>
          <w:rFonts w:cs="Times New Roman"/>
          <w:bCs/>
          <w:szCs w:val="24"/>
          <w:u w:val="single"/>
        </w:rPr>
        <w:t>Applicable Statute of Limitations</w:t>
      </w:r>
      <w:r>
        <w:rPr>
          <w:rFonts w:cs="Times New Roman"/>
          <w:bCs/>
          <w:szCs w:val="24"/>
        </w:rPr>
        <w:t>—</w:t>
      </w:r>
    </w:p>
    <w:p w14:paraId="34DA4384" w14:textId="77777777" w:rsidR="003F0E15" w:rsidRDefault="00520066" w:rsidP="00520066">
      <w:pPr>
        <w:spacing w:after="264"/>
        <w:ind w:left="1080" w:hanging="360"/>
        <w:rPr>
          <w:rFonts w:cs="Times New Roman"/>
          <w:bCs/>
          <w:szCs w:val="24"/>
          <w:u w:val="single"/>
        </w:rPr>
      </w:pPr>
      <w:r>
        <w:rPr>
          <w:rFonts w:cs="Times New Roman"/>
          <w:bCs/>
          <w:szCs w:val="24"/>
        </w:rPr>
        <w:t>—  U</w:t>
      </w:r>
      <w:r w:rsidRPr="00E62069">
        <w:rPr>
          <w:rFonts w:cs="Times New Roman"/>
          <w:bCs/>
          <w:szCs w:val="24"/>
        </w:rPr>
        <w:t xml:space="preserve">nrecorded </w:t>
      </w:r>
      <w:r>
        <w:rPr>
          <w:rFonts w:cs="Times New Roman"/>
          <w:bCs/>
          <w:szCs w:val="24"/>
        </w:rPr>
        <w:t xml:space="preserve">governing documents (e.g., </w:t>
      </w:r>
      <w:r w:rsidRPr="00E62069">
        <w:rPr>
          <w:rFonts w:cs="Times New Roman"/>
          <w:bCs/>
          <w:szCs w:val="24"/>
        </w:rPr>
        <w:t>architectural guidelines</w:t>
      </w:r>
      <w:r>
        <w:rPr>
          <w:rFonts w:cs="Times New Roman"/>
          <w:bCs/>
          <w:szCs w:val="24"/>
        </w:rPr>
        <w:t xml:space="preserve">, rules, etc.) </w:t>
      </w:r>
      <w:r w:rsidRPr="00E62069">
        <w:rPr>
          <w:rFonts w:cs="Times New Roman"/>
          <w:bCs/>
          <w:szCs w:val="24"/>
        </w:rPr>
        <w:t>fall within the</w:t>
      </w:r>
      <w:r w:rsidR="004C5F81">
        <w:rPr>
          <w:rFonts w:cs="Times New Roman"/>
          <w:bCs/>
          <w:szCs w:val="24"/>
        </w:rPr>
        <w:t xml:space="preserve"> same</w:t>
      </w:r>
      <w:r w:rsidRPr="00E62069">
        <w:rPr>
          <w:rFonts w:cs="Times New Roman"/>
          <w:bCs/>
          <w:szCs w:val="24"/>
        </w:rPr>
        <w:t xml:space="preserve"> five year </w:t>
      </w:r>
      <w:r w:rsidR="004C5F81">
        <w:rPr>
          <w:rFonts w:cs="Times New Roman"/>
          <w:bCs/>
          <w:szCs w:val="24"/>
        </w:rPr>
        <w:t>statute of</w:t>
      </w:r>
      <w:r w:rsidRPr="00E62069">
        <w:rPr>
          <w:rFonts w:cs="Times New Roman"/>
          <w:bCs/>
          <w:szCs w:val="24"/>
        </w:rPr>
        <w:t xml:space="preserve"> limitations</w:t>
      </w:r>
      <w:r w:rsidR="004C5F81">
        <w:rPr>
          <w:rFonts w:cs="Times New Roman"/>
          <w:bCs/>
          <w:szCs w:val="24"/>
        </w:rPr>
        <w:t xml:space="preserve"> that breach of the CC&amp;Rs do</w:t>
      </w:r>
      <w:r w:rsidR="00995973">
        <w:rPr>
          <w:rFonts w:cs="Times New Roman"/>
          <w:bCs/>
          <w:szCs w:val="24"/>
        </w:rPr>
        <w:t>es</w:t>
      </w:r>
      <w:r w:rsidRPr="00E62069">
        <w:rPr>
          <w:rFonts w:cs="Times New Roman"/>
          <w:bCs/>
          <w:szCs w:val="24"/>
        </w:rPr>
        <w:t>. (</w:t>
      </w:r>
      <w:r w:rsidRPr="00E62069">
        <w:rPr>
          <w:rFonts w:cs="Times New Roman"/>
          <w:bCs/>
          <w:i/>
          <w:iCs/>
          <w:szCs w:val="24"/>
        </w:rPr>
        <w:t xml:space="preserve">Pacific Hills Homeowners </w:t>
      </w:r>
      <w:proofErr w:type="spellStart"/>
      <w:r w:rsidRPr="00E62069">
        <w:rPr>
          <w:rFonts w:cs="Times New Roman"/>
          <w:bCs/>
          <w:i/>
          <w:iCs/>
          <w:szCs w:val="24"/>
        </w:rPr>
        <w:t>Ass</w:t>
      </w:r>
      <w:r>
        <w:rPr>
          <w:rFonts w:cs="Times New Roman"/>
          <w:bCs/>
          <w:i/>
          <w:iCs/>
          <w:szCs w:val="24"/>
        </w:rPr>
        <w:t>’</w:t>
      </w:r>
      <w:r w:rsidRPr="00E62069">
        <w:rPr>
          <w:rFonts w:cs="Times New Roman"/>
          <w:bCs/>
          <w:i/>
          <w:iCs/>
          <w:szCs w:val="24"/>
        </w:rPr>
        <w:t>n</w:t>
      </w:r>
      <w:proofErr w:type="spellEnd"/>
      <w:r w:rsidRPr="00E62069">
        <w:rPr>
          <w:rFonts w:cs="Times New Roman"/>
          <w:bCs/>
          <w:i/>
          <w:iCs/>
          <w:szCs w:val="24"/>
        </w:rPr>
        <w:t xml:space="preserve"> v. Prun</w:t>
      </w:r>
      <w:r w:rsidRPr="00E62069">
        <w:rPr>
          <w:rFonts w:cs="Times New Roman"/>
          <w:bCs/>
          <w:szCs w:val="24"/>
        </w:rPr>
        <w:t xml:space="preserve"> (2008) 160 Cal. App. 4th 1557, 1563.)</w:t>
      </w:r>
    </w:p>
    <w:p w14:paraId="69ED2184" w14:textId="77777777" w:rsidR="003F0E15" w:rsidRDefault="00E50C84"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B2496E" w:rsidRPr="00C5389E">
        <w:rPr>
          <w:rFonts w:cs="Times New Roman"/>
          <w:bCs/>
          <w:szCs w:val="24"/>
        </w:rPr>
        <w:t>Application of the Law to Client’s Facts.</w:t>
      </w:r>
    </w:p>
    <w:p w14:paraId="2D06DA6C" w14:textId="77777777" w:rsidR="003F0E15" w:rsidRDefault="00B2496E" w:rsidP="00B2496E">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E50C84" w:rsidRPr="0039236B">
        <w:rPr>
          <w:rFonts w:cs="Times New Roman"/>
          <w:bCs/>
          <w:szCs w:val="24"/>
          <w:highlight w:val="green"/>
        </w:rPr>
        <w:t xml:space="preserve"> the elements of </w:t>
      </w:r>
      <w:r w:rsidR="00E50C84">
        <w:rPr>
          <w:rFonts w:cs="Times New Roman"/>
          <w:bCs/>
          <w:szCs w:val="24"/>
          <w:highlight w:val="green"/>
        </w:rPr>
        <w:t xml:space="preserve">a cause of action for </w:t>
      </w:r>
      <w:r w:rsidR="00E50C84">
        <w:rPr>
          <w:rFonts w:cs="Times New Roman"/>
          <w:bCs/>
          <w:i/>
          <w:iCs/>
          <w:szCs w:val="24"/>
          <w:highlight w:val="green"/>
        </w:rPr>
        <w:t>breach of other governing documents</w:t>
      </w:r>
      <w:r w:rsidR="00E50C84"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E50C84" w:rsidRPr="009B4639">
        <w:rPr>
          <w:rFonts w:cs="Times New Roman"/>
          <w:bCs/>
          <w:szCs w:val="24"/>
          <w:highlight w:val="green"/>
        </w:rPr>
        <w:t xml:space="preserve"> </w:t>
      </w:r>
    </w:p>
    <w:p w14:paraId="52E63DD7" w14:textId="77777777" w:rsidR="003F0E15" w:rsidRDefault="003177D0" w:rsidP="003177D0">
      <w:pPr>
        <w:spacing w:after="264"/>
        <w:ind w:left="1080" w:hanging="360"/>
        <w:rPr>
          <w:rFonts w:cs="Times New Roman"/>
          <w:bCs/>
          <w:szCs w:val="24"/>
          <w:highlight w:val="green"/>
        </w:rPr>
      </w:pPr>
      <w:r w:rsidRPr="002D206C">
        <w:rPr>
          <w:rFonts w:cs="Times New Roman"/>
          <w:bCs/>
          <w:szCs w:val="24"/>
          <w:highlight w:val="green"/>
        </w:rPr>
        <w:t>—  ***</w:t>
      </w:r>
    </w:p>
    <w:p w14:paraId="42F8C427" w14:textId="77777777" w:rsidR="003F0E15" w:rsidRDefault="003177D0" w:rsidP="003177D0">
      <w:pPr>
        <w:spacing w:after="264"/>
        <w:ind w:left="1080" w:hanging="360"/>
        <w:rPr>
          <w:rFonts w:cs="Times New Roman"/>
          <w:bCs/>
          <w:szCs w:val="24"/>
        </w:rPr>
      </w:pPr>
      <w:r w:rsidRPr="002D206C">
        <w:rPr>
          <w:rFonts w:cs="Times New Roman"/>
          <w:bCs/>
          <w:szCs w:val="24"/>
          <w:highlight w:val="green"/>
        </w:rPr>
        <w:t>—  ***</w:t>
      </w:r>
    </w:p>
    <w:p w14:paraId="2EBA49E3" w14:textId="77777777" w:rsidR="003F0E15" w:rsidRDefault="006066A6" w:rsidP="006066A6">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1C3EDB69"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2A37C630"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844A719" w14:textId="77777777" w:rsidR="003F0E15" w:rsidRDefault="00D129F9" w:rsidP="00E13C80">
      <w:pPr>
        <w:pStyle w:val="Heading2"/>
        <w:spacing w:after="264"/>
        <w:rPr>
          <w:sz w:val="24"/>
          <w:szCs w:val="24"/>
        </w:rPr>
      </w:pPr>
      <w:r w:rsidRPr="00F1120A">
        <w:lastRenderedPageBreak/>
        <w:fldChar w:fldCharType="begin"/>
      </w:r>
      <w:r w:rsidRPr="00F1120A">
        <w:instrText xml:space="preserve"> LISTNUM LegalDefault \l 2 </w:instrText>
      </w:r>
      <w:r w:rsidRPr="00F1120A">
        <w:fldChar w:fldCharType="end"/>
      </w:r>
      <w:r w:rsidR="006669B8">
        <w:br/>
      </w:r>
      <w:r w:rsidRPr="00F1120A">
        <w:t>Negligence</w:t>
      </w:r>
    </w:p>
    <w:p w14:paraId="23D8B756" w14:textId="77777777" w:rsidR="003F0E15" w:rsidRDefault="00CB10A8" w:rsidP="00B2496E">
      <w:pPr>
        <w:spacing w:after="264"/>
        <w:rPr>
          <w:rFonts w:cs="Times New Roman"/>
          <w:bCs/>
          <w:szCs w:val="24"/>
        </w:rPr>
      </w:pPr>
      <w:r w:rsidRPr="00CB10A8">
        <w:rPr>
          <w:rFonts w:cs="Times New Roman"/>
          <w:bCs/>
          <w:szCs w:val="24"/>
          <w:u w:val="single"/>
        </w:rPr>
        <w:t>Elements</w:t>
      </w:r>
      <w:r>
        <w:rPr>
          <w:rFonts w:cs="Times New Roman"/>
          <w:bCs/>
          <w:szCs w:val="24"/>
        </w:rPr>
        <w:t>—</w:t>
      </w:r>
      <w:r w:rsidR="00A87571">
        <w:rPr>
          <w:rFonts w:cs="Times New Roman"/>
          <w:bCs/>
          <w:szCs w:val="24"/>
        </w:rPr>
        <w:t>Negligence</w:t>
      </w:r>
      <w:r w:rsidR="00F4349E">
        <w:rPr>
          <w:rFonts w:cs="Times New Roman"/>
          <w:bCs/>
          <w:szCs w:val="24"/>
        </w:rPr>
        <w:t>.</w:t>
      </w:r>
    </w:p>
    <w:p w14:paraId="6F72F510" w14:textId="77777777" w:rsidR="003F0E15" w:rsidRDefault="00A87571" w:rsidP="00A87571">
      <w:pPr>
        <w:spacing w:after="264"/>
        <w:ind w:left="1080" w:hanging="360"/>
        <w:rPr>
          <w:rFonts w:cs="Times New Roman"/>
          <w:bCs/>
          <w:szCs w:val="24"/>
        </w:rPr>
      </w:pPr>
      <w:r>
        <w:rPr>
          <w:rFonts w:cs="Times New Roman"/>
          <w:bCs/>
          <w:szCs w:val="24"/>
        </w:rPr>
        <w:t xml:space="preserve">—  </w:t>
      </w:r>
      <w:r w:rsidR="005252D4" w:rsidRPr="005252D4">
        <w:rPr>
          <w:rFonts w:cs="Times New Roman"/>
          <w:bCs/>
          <w:szCs w:val="24"/>
        </w:rPr>
        <w:t xml:space="preserve">To prove a claim for negligence, </w:t>
      </w:r>
      <w:r w:rsidR="005252D4">
        <w:rPr>
          <w:rFonts w:cs="Times New Roman"/>
          <w:bCs/>
          <w:szCs w:val="24"/>
        </w:rPr>
        <w:t>p</w:t>
      </w:r>
      <w:r w:rsidR="005252D4" w:rsidRPr="005252D4">
        <w:rPr>
          <w:rFonts w:cs="Times New Roman"/>
          <w:bCs/>
          <w:szCs w:val="24"/>
        </w:rPr>
        <w:t>laintiff must establish: (i) duty; (ii) breach of duty; (iii) proximate cause; and (iv) damages. (</w:t>
      </w:r>
      <w:r w:rsidR="005252D4" w:rsidRPr="005252D4">
        <w:rPr>
          <w:rFonts w:cs="Times New Roman"/>
          <w:bCs/>
          <w:i/>
          <w:iCs/>
          <w:szCs w:val="24"/>
        </w:rPr>
        <w:t>Peredia v. HR Mobile Services, Inc.</w:t>
      </w:r>
      <w:r w:rsidR="005252D4" w:rsidRPr="005252D4">
        <w:rPr>
          <w:rFonts w:cs="Times New Roman"/>
          <w:bCs/>
          <w:szCs w:val="24"/>
        </w:rPr>
        <w:t xml:space="preserve"> (2018) 25 Cal.App.5th 680, 687.)</w:t>
      </w:r>
      <w:r w:rsidR="00346E1B">
        <w:rPr>
          <w:rFonts w:cs="Times New Roman"/>
          <w:bCs/>
          <w:szCs w:val="24"/>
        </w:rPr>
        <w:t xml:space="preserve"> </w:t>
      </w:r>
    </w:p>
    <w:p w14:paraId="603840E0" w14:textId="77777777" w:rsidR="003F0E15" w:rsidRDefault="00805BD9" w:rsidP="00A87571">
      <w:pPr>
        <w:spacing w:after="264"/>
        <w:ind w:left="1080" w:hanging="360"/>
        <w:rPr>
          <w:rFonts w:cs="Times New Roman"/>
          <w:bCs/>
          <w:szCs w:val="24"/>
        </w:rPr>
      </w:pPr>
      <w:r>
        <w:rPr>
          <w:rFonts w:cs="Times New Roman"/>
          <w:bCs/>
          <w:szCs w:val="24"/>
        </w:rPr>
        <w:t xml:space="preserve">—  </w:t>
      </w:r>
      <w:r w:rsidR="006419DB">
        <w:rPr>
          <w:rFonts w:cs="Times New Roman"/>
          <w:bCs/>
          <w:szCs w:val="24"/>
        </w:rPr>
        <w:t>An HOA</w:t>
      </w:r>
      <w:r w:rsidR="00346E1B" w:rsidRPr="00805BD9">
        <w:rPr>
          <w:rFonts w:cs="Times New Roman"/>
          <w:bCs/>
          <w:szCs w:val="24"/>
        </w:rPr>
        <w:t xml:space="preserve"> that fails or refuses to abide by its contractual maintenance obligations is liable to the homeowner for damages caused by such negligence. (See, e.g., </w:t>
      </w:r>
      <w:r w:rsidR="00346E1B" w:rsidRPr="00805BD9">
        <w:rPr>
          <w:rFonts w:cs="Times New Roman"/>
          <w:bCs/>
          <w:i/>
          <w:iCs/>
          <w:szCs w:val="24"/>
        </w:rPr>
        <w:t>White v. Cox</w:t>
      </w:r>
      <w:r w:rsidR="00346E1B" w:rsidRPr="00805BD9">
        <w:rPr>
          <w:rFonts w:cs="Times New Roman"/>
          <w:bCs/>
          <w:szCs w:val="24"/>
        </w:rPr>
        <w:t xml:space="preserve"> (1971) 17 Cal.App.3d 824, 895.)</w:t>
      </w:r>
      <w:r w:rsidR="00346E1B">
        <w:rPr>
          <w:rFonts w:cs="Times New Roman"/>
          <w:bCs/>
          <w:szCs w:val="24"/>
        </w:rPr>
        <w:t xml:space="preserve"> </w:t>
      </w:r>
    </w:p>
    <w:bookmarkStart w:id="11" w:name="_Hlk42581531"/>
    <w:p w14:paraId="7492B443" w14:textId="77777777" w:rsidR="003F0E15" w:rsidRDefault="00ED07CF" w:rsidP="00A87571">
      <w:pPr>
        <w:spacing w:after="264"/>
        <w:ind w:left="1080" w:hanging="360"/>
        <w:rPr>
          <w:rStyle w:val="property1"/>
          <w:rFonts w:eastAsia="Times New Roman" w:cs="Times New Roman"/>
          <w:szCs w:val="24"/>
        </w:rPr>
      </w:pPr>
      <w:r>
        <w:rPr>
          <w:rFonts w:cs="Times New Roman"/>
          <w:bCs/>
          <w:szCs w:val="24"/>
        </w:rPr>
        <w:t xml:space="preserve">—  </w:t>
      </w:r>
      <w:bookmarkStart w:id="12" w:name="_Hlk41133419"/>
      <w:r>
        <w:rPr>
          <w:rFonts w:cs="Times New Roman"/>
          <w:bCs/>
          <w:szCs w:val="24"/>
        </w:rPr>
        <w:t xml:space="preserve">The “enforcement” issue </w:t>
      </w:r>
      <w:r w:rsidR="005968E0">
        <w:rPr>
          <w:rFonts w:cs="Times New Roman"/>
          <w:bCs/>
          <w:szCs w:val="24"/>
        </w:rPr>
        <w:t>raised</w:t>
      </w:r>
      <w:r>
        <w:rPr>
          <w:rFonts w:cs="Times New Roman"/>
          <w:bCs/>
          <w:szCs w:val="24"/>
        </w:rPr>
        <w:t xml:space="preserve"> </w:t>
      </w:r>
      <w:r w:rsidR="00CD0C1E">
        <w:rPr>
          <w:rFonts w:cs="Times New Roman"/>
          <w:bCs/>
          <w:szCs w:val="24"/>
        </w:rPr>
        <w:t xml:space="preserve">in the context of </w:t>
      </w:r>
      <w:r>
        <w:rPr>
          <w:rFonts w:cs="Times New Roman"/>
          <w:bCs/>
          <w:szCs w:val="24"/>
        </w:rPr>
        <w:t xml:space="preserve">the “Breach of CC&amp;Rs” cause of action above </w:t>
      </w:r>
      <w:r w:rsidR="005968E0">
        <w:rPr>
          <w:rFonts w:cs="Times New Roman"/>
          <w:bCs/>
          <w:szCs w:val="24"/>
        </w:rPr>
        <w:t>is</w:t>
      </w:r>
      <w:r w:rsidR="00CD0C1E">
        <w:rPr>
          <w:rFonts w:cs="Times New Roman"/>
          <w:bCs/>
          <w:szCs w:val="24"/>
        </w:rPr>
        <w:t xml:space="preserve"> also</w:t>
      </w:r>
      <w:r>
        <w:rPr>
          <w:rFonts w:cs="Times New Roman"/>
          <w:bCs/>
          <w:szCs w:val="24"/>
        </w:rPr>
        <w:t xml:space="preserve"> applicable in the context of a negligence </w:t>
      </w:r>
      <w:r w:rsidR="00CD0C1E">
        <w:rPr>
          <w:rFonts w:cs="Times New Roman"/>
          <w:bCs/>
          <w:szCs w:val="24"/>
        </w:rPr>
        <w:t>claim</w:t>
      </w:r>
      <w:r>
        <w:rPr>
          <w:rFonts w:cs="Times New Roman"/>
          <w:bCs/>
          <w:szCs w:val="24"/>
        </w:rPr>
        <w:t>.</w:t>
      </w:r>
      <w:bookmarkEnd w:id="12"/>
    </w:p>
    <w:bookmarkStart w:id="13" w:name="_Hlk41032600"/>
    <w:p w14:paraId="1B59E5E9" w14:textId="77777777" w:rsidR="003F0E15" w:rsidRDefault="001A327C" w:rsidP="001A327C">
      <w:pPr>
        <w:spacing w:after="264"/>
        <w:ind w:left="1080" w:hanging="360"/>
        <w:rPr>
          <w:rStyle w:val="property1"/>
          <w:rFonts w:eastAsia="Times New Roman"/>
        </w:rPr>
      </w:pPr>
      <w:bookmarkStart w:id="14" w:name="_Hlk41131756"/>
      <w:r>
        <w:rPr>
          <w:rFonts w:cs="Times New Roman"/>
          <w:bCs/>
          <w:szCs w:val="24"/>
        </w:rPr>
        <w:t xml:space="preserve">—  </w:t>
      </w:r>
      <w:r w:rsidR="00E64351">
        <w:rPr>
          <w:rFonts w:cs="Times New Roman"/>
          <w:bCs/>
          <w:szCs w:val="24"/>
        </w:rPr>
        <w:t>The “failure to maintain” issue discussed in the context of the “Breach of CC&amp;Rs” cause of action above is also applicable in the context of a negligence claim.</w:t>
      </w:r>
      <w:bookmarkEnd w:id="14"/>
      <w:r w:rsidR="00E64351">
        <w:rPr>
          <w:rFonts w:cs="Times New Roman"/>
          <w:szCs w:val="24"/>
        </w:rPr>
        <w:t xml:space="preserve"> </w:t>
      </w:r>
    </w:p>
    <w:p w14:paraId="6E071E06"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04313290" w14:textId="77777777" w:rsidR="003F0E15" w:rsidRDefault="00805A7D"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Compensatory damages are available for all harm proximately caused by a defendant’s wrongful acts. (Civ. Code, §§ 3281, 3333-3343.7.)</w:t>
      </w:r>
    </w:p>
    <w:p w14:paraId="7679D226" w14:textId="77777777" w:rsidR="003F0E15" w:rsidRDefault="00CF5802"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Injunctive Relief is available. Courts can fashion equitable relief to remedy negligent conditions. (</w:t>
      </w:r>
      <w:r w:rsidR="003048F9" w:rsidRPr="003048F9">
        <w:rPr>
          <w:rFonts w:cs="Times New Roman"/>
          <w:bCs/>
          <w:i/>
          <w:iCs/>
          <w:szCs w:val="24"/>
        </w:rPr>
        <w:t>Ritter &amp; Ritter Inc. Pension and Profit Plan v. The Churchill Condominium Assn.</w:t>
      </w:r>
      <w:r w:rsidR="003048F9" w:rsidRPr="003048F9">
        <w:rPr>
          <w:rFonts w:cs="Times New Roman"/>
          <w:bCs/>
          <w:szCs w:val="24"/>
        </w:rPr>
        <w:t xml:space="preserve"> (2008) 166 Cal.App.4th 103.)</w:t>
      </w:r>
    </w:p>
    <w:p w14:paraId="5938FE63" w14:textId="77777777" w:rsidR="003F0E15" w:rsidRDefault="00630C8F" w:rsidP="00805A7D">
      <w:pPr>
        <w:spacing w:after="264"/>
        <w:ind w:left="1080" w:hanging="360"/>
        <w:rPr>
          <w:rFonts w:cs="Times New Roman"/>
          <w:bCs/>
          <w:szCs w:val="24"/>
        </w:rPr>
      </w:pPr>
      <w:r>
        <w:rPr>
          <w:rFonts w:cs="Times New Roman"/>
          <w:bCs/>
          <w:szCs w:val="24"/>
        </w:rPr>
        <w:t xml:space="preserve">—  Damages for emotional distress are only available in connection with bodily injury. </w:t>
      </w:r>
      <w:r w:rsidRPr="00630C8F">
        <w:rPr>
          <w:rFonts w:cs="Times New Roman"/>
          <w:bCs/>
          <w:szCs w:val="24"/>
        </w:rPr>
        <w:t>(</w:t>
      </w:r>
      <w:r w:rsidRPr="00630C8F">
        <w:rPr>
          <w:rFonts w:cs="Times New Roman"/>
          <w:bCs/>
          <w:i/>
          <w:iCs/>
          <w:szCs w:val="24"/>
        </w:rPr>
        <w:t>Potter v. Firestone Tire &amp; Rubber</w:t>
      </w:r>
      <w:r w:rsidRPr="00630C8F">
        <w:rPr>
          <w:rFonts w:cs="Times New Roman"/>
          <w:bCs/>
          <w:szCs w:val="24"/>
        </w:rPr>
        <w:t xml:space="preserve"> (1993) 6 Cal.4th 965.) </w:t>
      </w:r>
      <w:r>
        <w:rPr>
          <w:rFonts w:cs="Times New Roman"/>
          <w:bCs/>
          <w:szCs w:val="24"/>
        </w:rPr>
        <w:t xml:space="preserve">Such relief, when available, arises out of a claim for </w:t>
      </w:r>
      <w:r w:rsidRPr="00630C8F">
        <w:rPr>
          <w:rFonts w:cs="Times New Roman"/>
          <w:bCs/>
          <w:szCs w:val="24"/>
        </w:rPr>
        <w:t xml:space="preserve"> </w:t>
      </w:r>
      <w:r w:rsidRPr="00630C8F">
        <w:rPr>
          <w:rFonts w:cs="Times New Roman"/>
          <w:bCs/>
          <w:i/>
          <w:iCs/>
          <w:szCs w:val="24"/>
        </w:rPr>
        <w:t>negligent infliction of emotional distress</w:t>
      </w:r>
      <w:r w:rsidRPr="00630C8F">
        <w:rPr>
          <w:rFonts w:cs="Times New Roman"/>
          <w:bCs/>
          <w:szCs w:val="24"/>
        </w:rPr>
        <w:t xml:space="preserve">, </w:t>
      </w:r>
      <w:r w:rsidR="003048F9">
        <w:rPr>
          <w:rFonts w:cs="Times New Roman"/>
          <w:bCs/>
          <w:szCs w:val="24"/>
        </w:rPr>
        <w:t xml:space="preserve">which often involve </w:t>
      </w:r>
      <w:r w:rsidRPr="00630C8F">
        <w:rPr>
          <w:rFonts w:cs="Times New Roman"/>
          <w:bCs/>
          <w:szCs w:val="24"/>
        </w:rPr>
        <w:t>“bystander situations”</w:t>
      </w:r>
      <w:r w:rsidR="003048F9">
        <w:rPr>
          <w:rFonts w:cs="Times New Roman"/>
          <w:bCs/>
          <w:szCs w:val="24"/>
        </w:rPr>
        <w:t xml:space="preserve">—e.g., witnessing injury to a family member. </w:t>
      </w:r>
      <w:r w:rsidRPr="00630C8F">
        <w:rPr>
          <w:rFonts w:cs="Times New Roman"/>
          <w:bCs/>
          <w:szCs w:val="24"/>
        </w:rPr>
        <w:t>(</w:t>
      </w:r>
      <w:r w:rsidRPr="00630C8F">
        <w:rPr>
          <w:rFonts w:cs="Times New Roman"/>
          <w:bCs/>
          <w:i/>
          <w:iCs/>
          <w:szCs w:val="24"/>
        </w:rPr>
        <w:t>Burgess v. Superior Court</w:t>
      </w:r>
      <w:r w:rsidRPr="00630C8F">
        <w:rPr>
          <w:rFonts w:cs="Times New Roman"/>
          <w:bCs/>
          <w:szCs w:val="24"/>
        </w:rPr>
        <w:t xml:space="preserve"> (1992) 2 Cal.4th 1064.) Emotional distress damages for negligence </w:t>
      </w:r>
      <w:r w:rsidRPr="000A1839">
        <w:rPr>
          <w:rFonts w:cs="Times New Roman"/>
          <w:bCs/>
          <w:i/>
          <w:iCs/>
          <w:szCs w:val="24"/>
        </w:rPr>
        <w:t>without</w:t>
      </w:r>
      <w:r w:rsidRPr="00630C8F">
        <w:rPr>
          <w:rFonts w:cs="Times New Roman"/>
          <w:bCs/>
          <w:szCs w:val="24"/>
        </w:rPr>
        <w:t xml:space="preserve"> injury</w:t>
      </w:r>
      <w:r w:rsidR="000A1839">
        <w:rPr>
          <w:rFonts w:cs="Times New Roman"/>
          <w:bCs/>
          <w:szCs w:val="24"/>
        </w:rPr>
        <w:t xml:space="preserve"> (e.g., fear </w:t>
      </w:r>
      <w:r w:rsidRPr="00630C8F">
        <w:rPr>
          <w:rFonts w:cs="Times New Roman"/>
          <w:bCs/>
          <w:szCs w:val="24"/>
        </w:rPr>
        <w:t>of illness such as cancer if exposed to toxic substances threatening cancer</w:t>
      </w:r>
      <w:r w:rsidR="000A1839">
        <w:rPr>
          <w:rFonts w:cs="Times New Roman"/>
          <w:bCs/>
          <w:szCs w:val="24"/>
        </w:rPr>
        <w:t xml:space="preserve">) available if </w:t>
      </w:r>
      <w:r w:rsidRPr="00630C8F">
        <w:rPr>
          <w:rFonts w:cs="Times New Roman"/>
          <w:bCs/>
          <w:szCs w:val="24"/>
        </w:rPr>
        <w:t>defendant acted with malice, fraud</w:t>
      </w:r>
      <w:r w:rsidR="000A1839">
        <w:rPr>
          <w:rFonts w:cs="Times New Roman"/>
          <w:bCs/>
          <w:szCs w:val="24"/>
        </w:rPr>
        <w:t>,</w:t>
      </w:r>
      <w:r w:rsidRPr="00630C8F">
        <w:rPr>
          <w:rFonts w:cs="Times New Roman"/>
          <w:bCs/>
          <w:szCs w:val="24"/>
        </w:rPr>
        <w:t xml:space="preserve"> or oppression</w:t>
      </w:r>
      <w:r w:rsidR="000A1839">
        <w:rPr>
          <w:rFonts w:cs="Times New Roman"/>
          <w:bCs/>
          <w:szCs w:val="24"/>
        </w:rPr>
        <w:t xml:space="preserve">, and the </w:t>
      </w:r>
      <w:r w:rsidRPr="00630C8F">
        <w:rPr>
          <w:rFonts w:cs="Times New Roman"/>
          <w:bCs/>
          <w:szCs w:val="24"/>
        </w:rPr>
        <w:t>fear is based on knowledge corroborated by reliable medical or scientific evidence. (</w:t>
      </w:r>
      <w:r w:rsidRPr="000A1839">
        <w:rPr>
          <w:rFonts w:cs="Times New Roman"/>
          <w:bCs/>
          <w:i/>
          <w:iCs/>
          <w:szCs w:val="24"/>
        </w:rPr>
        <w:t>Potter v. Firestone Tire &amp; Rubber, supra</w:t>
      </w:r>
      <w:r w:rsidRPr="00630C8F">
        <w:rPr>
          <w:rFonts w:cs="Times New Roman"/>
          <w:bCs/>
          <w:szCs w:val="24"/>
        </w:rPr>
        <w:t>, 6 Cal.4th at pp. 999-1000.)</w:t>
      </w:r>
    </w:p>
    <w:p w14:paraId="3792E24E"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7653281"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F2781C5" w14:textId="77777777" w:rsidR="003F0E15" w:rsidRDefault="00CE6FC7" w:rsidP="00CE6FC7">
      <w:pPr>
        <w:spacing w:after="264"/>
        <w:ind w:left="1080" w:hanging="360"/>
        <w:rPr>
          <w:rFonts w:cs="Times New Roman"/>
          <w:bCs/>
          <w:szCs w:val="24"/>
        </w:rPr>
      </w:pPr>
      <w:r>
        <w:rPr>
          <w:rFonts w:cs="Times New Roman"/>
          <w:bCs/>
          <w:szCs w:val="24"/>
        </w:rPr>
        <w:t xml:space="preserve">—  </w:t>
      </w:r>
      <w:r w:rsidR="00046B57" w:rsidRPr="00046B57">
        <w:rPr>
          <w:rFonts w:cs="Times New Roman"/>
          <w:bCs/>
          <w:szCs w:val="24"/>
        </w:rPr>
        <w:t>Two years for personal injuries</w:t>
      </w:r>
      <w:r w:rsidR="00046B57">
        <w:rPr>
          <w:rFonts w:cs="Times New Roman"/>
          <w:bCs/>
          <w:szCs w:val="24"/>
        </w:rPr>
        <w:t>.</w:t>
      </w:r>
      <w:r w:rsidR="00046B57" w:rsidRPr="00046B57">
        <w:rPr>
          <w:rFonts w:cs="Times New Roman"/>
          <w:bCs/>
          <w:szCs w:val="24"/>
        </w:rPr>
        <w:t xml:space="preserve"> (Code Civ. Proc.</w:t>
      </w:r>
      <w:r w:rsidR="00046B57">
        <w:rPr>
          <w:rFonts w:cs="Times New Roman"/>
          <w:bCs/>
          <w:szCs w:val="24"/>
        </w:rPr>
        <w:t>,</w:t>
      </w:r>
      <w:r w:rsidR="00046B57" w:rsidRPr="00046B57">
        <w:rPr>
          <w:rFonts w:cs="Times New Roman"/>
          <w:bCs/>
          <w:szCs w:val="24"/>
        </w:rPr>
        <w:t xml:space="preserve"> §</w:t>
      </w:r>
      <w:r w:rsidR="00046B57">
        <w:rPr>
          <w:rFonts w:cs="Times New Roman"/>
          <w:bCs/>
          <w:szCs w:val="24"/>
        </w:rPr>
        <w:t xml:space="preserve"> </w:t>
      </w:r>
      <w:r w:rsidR="00046B57" w:rsidRPr="00046B57">
        <w:rPr>
          <w:rFonts w:cs="Times New Roman"/>
          <w:bCs/>
          <w:szCs w:val="24"/>
        </w:rPr>
        <w:t>335.1</w:t>
      </w:r>
      <w:r w:rsidR="00046B57">
        <w:rPr>
          <w:rFonts w:cs="Times New Roman"/>
          <w:bCs/>
          <w:szCs w:val="24"/>
        </w:rPr>
        <w:t>.</w:t>
      </w:r>
      <w:r w:rsidR="00046B57" w:rsidRPr="00046B57">
        <w:rPr>
          <w:rFonts w:cs="Times New Roman"/>
          <w:bCs/>
          <w:szCs w:val="24"/>
        </w:rPr>
        <w:t>)</w:t>
      </w:r>
    </w:p>
    <w:p w14:paraId="525DB925" w14:textId="77777777" w:rsidR="003F0E15" w:rsidRDefault="00046B57" w:rsidP="00CE6FC7">
      <w:pPr>
        <w:spacing w:after="264"/>
        <w:ind w:left="1080" w:hanging="360"/>
        <w:rPr>
          <w:rFonts w:cs="Times New Roman"/>
          <w:bCs/>
          <w:szCs w:val="24"/>
        </w:rPr>
      </w:pPr>
      <w:r>
        <w:rPr>
          <w:rFonts w:cs="Times New Roman"/>
          <w:bCs/>
          <w:szCs w:val="24"/>
        </w:rPr>
        <w:t xml:space="preserve">—  Three years for claims related to injury to property.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p>
    <w:p w14:paraId="0E4BE0B7" w14:textId="77777777" w:rsidR="003F0E15" w:rsidRDefault="00FD0D17"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3177D0" w:rsidRPr="00C5389E">
        <w:rPr>
          <w:rFonts w:cs="Times New Roman"/>
          <w:bCs/>
          <w:szCs w:val="24"/>
        </w:rPr>
        <w:t>Application of the Law to Client’s Facts.</w:t>
      </w:r>
    </w:p>
    <w:p w14:paraId="496EC167" w14:textId="77777777" w:rsidR="003F0E15" w:rsidRDefault="003177D0" w:rsidP="003177D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FD0D17"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negligence</w:t>
      </w:r>
      <w:r w:rsidR="00FD0D17"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FD0D17" w:rsidRPr="009B4639">
        <w:rPr>
          <w:rFonts w:cs="Times New Roman"/>
          <w:bCs/>
          <w:szCs w:val="24"/>
          <w:highlight w:val="green"/>
        </w:rPr>
        <w:t xml:space="preserve"> </w:t>
      </w:r>
    </w:p>
    <w:p w14:paraId="12D98153" w14:textId="77777777" w:rsidR="003F0E15" w:rsidRDefault="006066A6" w:rsidP="006066A6">
      <w:pPr>
        <w:spacing w:after="264"/>
        <w:ind w:left="1080" w:hanging="360"/>
        <w:rPr>
          <w:rFonts w:cs="Times New Roman"/>
          <w:bCs/>
          <w:szCs w:val="24"/>
          <w:highlight w:val="green"/>
        </w:rPr>
      </w:pPr>
      <w:r w:rsidRPr="002D206C">
        <w:rPr>
          <w:rFonts w:cs="Times New Roman"/>
          <w:bCs/>
          <w:szCs w:val="24"/>
          <w:highlight w:val="green"/>
        </w:rPr>
        <w:t>—  ***</w:t>
      </w:r>
    </w:p>
    <w:p w14:paraId="4ECC6E8A" w14:textId="77777777" w:rsidR="003F0E15" w:rsidRDefault="006066A6" w:rsidP="006066A6">
      <w:pPr>
        <w:spacing w:after="264"/>
        <w:ind w:left="1080" w:hanging="360"/>
        <w:rPr>
          <w:rFonts w:cs="Times New Roman"/>
          <w:bCs/>
          <w:szCs w:val="24"/>
        </w:rPr>
      </w:pPr>
      <w:r w:rsidRPr="002D206C">
        <w:rPr>
          <w:rFonts w:cs="Times New Roman"/>
          <w:bCs/>
          <w:szCs w:val="24"/>
          <w:highlight w:val="green"/>
        </w:rPr>
        <w:t>—  ***</w:t>
      </w:r>
    </w:p>
    <w:p w14:paraId="4E05CC6C" w14:textId="77777777" w:rsidR="003F0E15" w:rsidRDefault="006066A6" w:rsidP="006066A6">
      <w:pPr>
        <w:spacing w:after="264"/>
        <w:rPr>
          <w:rFonts w:cs="Times New Roman"/>
          <w:bCs/>
          <w:szCs w:val="24"/>
          <w:highlight w:val="green"/>
        </w:rPr>
      </w:pPr>
      <w:r w:rsidRPr="00C5389E">
        <w:rPr>
          <w:rFonts w:cs="Times New Roman"/>
          <w:bCs/>
          <w:szCs w:val="24"/>
          <w:u w:val="single"/>
        </w:rPr>
        <w:lastRenderedPageBreak/>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02771771"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CD7D376"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85D10E6" w14:textId="77777777" w:rsidR="003F0E15" w:rsidRDefault="00827681" w:rsidP="00E13C80">
      <w:pPr>
        <w:pStyle w:val="Heading2"/>
        <w:spacing w:after="264"/>
        <w:rPr>
          <w:sz w:val="24"/>
          <w:szCs w:val="24"/>
        </w:rPr>
      </w:pPr>
      <w:r w:rsidRPr="00F1120A">
        <w:fldChar w:fldCharType="begin"/>
      </w:r>
      <w:r w:rsidRPr="00F1120A">
        <w:instrText xml:space="preserve"> LISTNUM LegalDefault \l 2 </w:instrText>
      </w:r>
      <w:r w:rsidRPr="00F1120A">
        <w:fldChar w:fldCharType="end"/>
      </w:r>
      <w:r w:rsidR="006669B8">
        <w:br/>
      </w:r>
      <w:r w:rsidRPr="00F1120A">
        <w:t>Breach of Fiduciary Duty</w:t>
      </w:r>
    </w:p>
    <w:p w14:paraId="55DDE0C1" w14:textId="77777777" w:rsidR="003F0E15" w:rsidRDefault="00CB10A8" w:rsidP="00A87571">
      <w:pPr>
        <w:spacing w:after="264"/>
        <w:rPr>
          <w:rFonts w:cs="Times New Roman"/>
          <w:bCs/>
          <w:szCs w:val="24"/>
        </w:rPr>
      </w:pPr>
      <w:r w:rsidRPr="00CB10A8">
        <w:rPr>
          <w:rFonts w:cs="Times New Roman"/>
          <w:bCs/>
          <w:szCs w:val="24"/>
          <w:u w:val="single"/>
        </w:rPr>
        <w:t>Elements</w:t>
      </w:r>
      <w:r>
        <w:rPr>
          <w:rFonts w:cs="Times New Roman"/>
          <w:bCs/>
          <w:szCs w:val="24"/>
        </w:rPr>
        <w:t>—</w:t>
      </w:r>
      <w:r w:rsidR="00F4349E">
        <w:rPr>
          <w:rFonts w:cs="Times New Roman"/>
          <w:bCs/>
          <w:szCs w:val="24"/>
        </w:rPr>
        <w:t>Breach of Fiduciary Duty.</w:t>
      </w:r>
    </w:p>
    <w:p w14:paraId="04E08273" w14:textId="77777777" w:rsidR="003F0E15" w:rsidRDefault="00A87571" w:rsidP="00A87571">
      <w:pPr>
        <w:spacing w:after="264"/>
        <w:ind w:left="1080" w:hanging="360"/>
        <w:rPr>
          <w:rFonts w:cs="Times New Roman"/>
          <w:bCs/>
          <w:szCs w:val="24"/>
        </w:rPr>
      </w:pPr>
      <w:r>
        <w:rPr>
          <w:rFonts w:cs="Times New Roman"/>
          <w:bCs/>
          <w:szCs w:val="24"/>
        </w:rPr>
        <w:t xml:space="preserve">—  </w:t>
      </w:r>
      <w:r w:rsidR="00E37E0A" w:rsidRPr="006C31D4">
        <w:rPr>
          <w:rFonts w:cs="Times New Roman"/>
          <w:bCs/>
          <w:szCs w:val="24"/>
        </w:rPr>
        <w:t>The elements of a claim for breach of fiduciary duty are: (i) the existence of a fiduciary relationship; (ii) its breach; and (iii) damage proximately caused by that breach. (</w:t>
      </w:r>
      <w:r w:rsidR="00E37E0A" w:rsidRPr="00306162">
        <w:rPr>
          <w:rFonts w:cs="Times New Roman"/>
          <w:bCs/>
          <w:i/>
          <w:iCs/>
          <w:szCs w:val="24"/>
        </w:rPr>
        <w:t xml:space="preserve">Tribeca Companies, LLC v. First American Title, Ins. </w:t>
      </w:r>
      <w:r w:rsidR="00E37E0A" w:rsidRPr="00306162">
        <w:rPr>
          <w:rFonts w:cs="Times New Roman"/>
          <w:bCs/>
          <w:szCs w:val="24"/>
        </w:rPr>
        <w:t>(2015) 239 Cal.App.4th 1088.</w:t>
      </w:r>
      <w:r w:rsidR="00E37E0A" w:rsidRPr="006C31D4">
        <w:rPr>
          <w:rFonts w:cs="Times New Roman"/>
          <w:bCs/>
          <w:szCs w:val="24"/>
        </w:rPr>
        <w:t>)</w:t>
      </w:r>
      <w:r w:rsidR="000F496F">
        <w:rPr>
          <w:rFonts w:cs="Times New Roman"/>
          <w:bCs/>
          <w:szCs w:val="24"/>
        </w:rPr>
        <w:t xml:space="preserve"> </w:t>
      </w:r>
    </w:p>
    <w:p w14:paraId="7623F1A4"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Associations owe a fiduciary duty to their members. (</w:t>
      </w:r>
      <w:r w:rsidR="000F496F" w:rsidRPr="000F496F">
        <w:rPr>
          <w:rFonts w:cs="Times New Roman"/>
          <w:bCs/>
          <w:i/>
          <w:iCs/>
          <w:szCs w:val="24"/>
        </w:rPr>
        <w:t xml:space="preserve">Raven’s Cove Townhomes, Inc. v. </w:t>
      </w:r>
      <w:proofErr w:type="spellStart"/>
      <w:r w:rsidR="000F496F" w:rsidRPr="000F496F">
        <w:rPr>
          <w:rFonts w:cs="Times New Roman"/>
          <w:bCs/>
          <w:i/>
          <w:iCs/>
          <w:szCs w:val="24"/>
        </w:rPr>
        <w:t>Knuppe</w:t>
      </w:r>
      <w:proofErr w:type="spellEnd"/>
      <w:r w:rsidR="000F496F" w:rsidRPr="000F496F">
        <w:rPr>
          <w:rFonts w:cs="Times New Roman"/>
          <w:bCs/>
          <w:i/>
          <w:iCs/>
          <w:szCs w:val="24"/>
        </w:rPr>
        <w:t xml:space="preserve"> Development Co.</w:t>
      </w:r>
      <w:r w:rsidR="000F496F" w:rsidRPr="000F496F">
        <w:rPr>
          <w:rFonts w:cs="Times New Roman"/>
          <w:bCs/>
          <w:szCs w:val="24"/>
        </w:rPr>
        <w:t xml:space="preserve"> (1981) 114 Cal.App.3d 783</w:t>
      </w:r>
      <w:r w:rsidR="000F496F">
        <w:rPr>
          <w:rFonts w:cs="Times New Roman"/>
          <w:bCs/>
          <w:szCs w:val="24"/>
        </w:rPr>
        <w:t xml:space="preserve">; </w:t>
      </w:r>
      <w:r w:rsidR="000F496F" w:rsidRPr="000F496F">
        <w:rPr>
          <w:rFonts w:cs="Times New Roman"/>
          <w:bCs/>
          <w:i/>
          <w:iCs/>
          <w:szCs w:val="24"/>
        </w:rPr>
        <w:t>Cohen v. Kite Hill Community Assn.</w:t>
      </w:r>
      <w:r w:rsidR="000F496F" w:rsidRPr="000F496F">
        <w:rPr>
          <w:rFonts w:cs="Times New Roman"/>
          <w:bCs/>
          <w:szCs w:val="24"/>
        </w:rPr>
        <w:t xml:space="preserve"> (1983) 142 Cal.App.3d 642.)</w:t>
      </w:r>
      <w:r w:rsidR="000F496F">
        <w:rPr>
          <w:rFonts w:cs="Times New Roman"/>
          <w:bCs/>
          <w:szCs w:val="24"/>
        </w:rPr>
        <w:t xml:space="preserve"> </w:t>
      </w:r>
    </w:p>
    <w:p w14:paraId="222DB3FE"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Directors of an association are fiduciaries and are thus required to exercise due care and undivided loyalty for the interests of the association. (</w:t>
      </w:r>
      <w:r w:rsidR="000F496F" w:rsidRPr="000F496F">
        <w:rPr>
          <w:rFonts w:cs="Times New Roman"/>
          <w:bCs/>
          <w:i/>
          <w:iCs/>
          <w:szCs w:val="24"/>
        </w:rPr>
        <w:t>Francis T. v. Village Green Owners Assn.</w:t>
      </w:r>
      <w:r w:rsidR="000F496F" w:rsidRPr="000F496F">
        <w:rPr>
          <w:rFonts w:cs="Times New Roman"/>
          <w:bCs/>
          <w:szCs w:val="24"/>
        </w:rPr>
        <w:t xml:space="preserve"> (1986) 42 Cal.3d 490, 513; </w:t>
      </w:r>
      <w:r w:rsidR="000F496F" w:rsidRPr="000F496F">
        <w:rPr>
          <w:rFonts w:cs="Times New Roman"/>
          <w:bCs/>
          <w:i/>
          <w:iCs/>
          <w:szCs w:val="24"/>
        </w:rPr>
        <w:t xml:space="preserve">Mueller v. </w:t>
      </w:r>
      <w:proofErr w:type="spellStart"/>
      <w:r w:rsidR="000F496F" w:rsidRPr="000F496F">
        <w:rPr>
          <w:rFonts w:cs="Times New Roman"/>
          <w:bCs/>
          <w:i/>
          <w:iCs/>
          <w:szCs w:val="24"/>
        </w:rPr>
        <w:t>Macban</w:t>
      </w:r>
      <w:proofErr w:type="spellEnd"/>
      <w:r w:rsidR="000F496F" w:rsidRPr="000F496F">
        <w:rPr>
          <w:rFonts w:cs="Times New Roman"/>
          <w:bCs/>
          <w:szCs w:val="24"/>
        </w:rPr>
        <w:t xml:space="preserve"> (1976) 62</w:t>
      </w:r>
      <w:r w:rsidR="000F496F">
        <w:rPr>
          <w:rFonts w:cs="Times New Roman"/>
          <w:bCs/>
          <w:szCs w:val="24"/>
        </w:rPr>
        <w:t xml:space="preserve"> </w:t>
      </w:r>
      <w:r w:rsidR="000F496F" w:rsidRPr="000F496F">
        <w:rPr>
          <w:rFonts w:cs="Times New Roman"/>
          <w:bCs/>
          <w:szCs w:val="24"/>
        </w:rPr>
        <w:t>Cal.App.3d 258, 274.)</w:t>
      </w:r>
    </w:p>
    <w:p w14:paraId="2A606234" w14:textId="77777777" w:rsidR="003F0E15" w:rsidRDefault="00936EAF" w:rsidP="00A87571">
      <w:pPr>
        <w:spacing w:after="264"/>
        <w:ind w:left="1080" w:hanging="360"/>
        <w:rPr>
          <w:rFonts w:cs="Times New Roman"/>
          <w:bCs/>
          <w:szCs w:val="24"/>
        </w:rPr>
      </w:pPr>
      <w:r>
        <w:rPr>
          <w:rFonts w:cs="Times New Roman"/>
          <w:bCs/>
          <w:szCs w:val="24"/>
        </w:rPr>
        <w:t xml:space="preserve">—  </w:t>
      </w:r>
      <w:r w:rsidRPr="000F496F">
        <w:rPr>
          <w:rFonts w:cs="Times New Roman"/>
          <w:bCs/>
          <w:szCs w:val="24"/>
        </w:rPr>
        <w:t xml:space="preserve">HOAs have an affirmative duty to enforce the restrictions in </w:t>
      </w:r>
      <w:r>
        <w:rPr>
          <w:rFonts w:cs="Times New Roman"/>
          <w:bCs/>
          <w:szCs w:val="24"/>
        </w:rPr>
        <w:t>their governing documents.</w:t>
      </w:r>
      <w:r w:rsidRPr="000F496F">
        <w:rPr>
          <w:rFonts w:cs="Times New Roman"/>
          <w:bCs/>
          <w:szCs w:val="24"/>
        </w:rPr>
        <w:t xml:space="preserve"> (</w:t>
      </w:r>
      <w:r w:rsidRPr="000F496F">
        <w:rPr>
          <w:rFonts w:cs="Times New Roman"/>
          <w:bCs/>
          <w:i/>
          <w:iCs/>
          <w:szCs w:val="24"/>
        </w:rPr>
        <w:t>Ekstrom v. Marquesa at Monarch Beach Homeowners Assn.</w:t>
      </w:r>
      <w:r w:rsidRPr="000F496F">
        <w:rPr>
          <w:rFonts w:cs="Times New Roman"/>
          <w:bCs/>
          <w:szCs w:val="24"/>
        </w:rPr>
        <w:t xml:space="preserve"> (2008) 168 Cal.App.4th 1111.)</w:t>
      </w:r>
    </w:p>
    <w:p w14:paraId="08F6F7EF" w14:textId="77777777" w:rsidR="003F0E15" w:rsidRDefault="00863CDD" w:rsidP="00863CDD">
      <w:pPr>
        <w:spacing w:after="264"/>
        <w:ind w:left="1080" w:hanging="360"/>
        <w:rPr>
          <w:rFonts w:cs="Times New Roman"/>
          <w:bCs/>
          <w:szCs w:val="24"/>
        </w:rPr>
      </w:pPr>
      <w:r>
        <w:rPr>
          <w:rFonts w:cs="Times New Roman"/>
          <w:bCs/>
          <w:szCs w:val="24"/>
        </w:rPr>
        <w:t xml:space="preserve">—  </w:t>
      </w:r>
      <w:r w:rsidR="005E261D" w:rsidRPr="00FD51C5">
        <w:rPr>
          <w:rFonts w:cs="Times New Roman"/>
          <w:bCs/>
          <w:szCs w:val="24"/>
        </w:rPr>
        <w:t>Among its acts, directors may not make decisions for the association that benefit their own interests at the expense of the association and the entire membership. (</w:t>
      </w:r>
      <w:r w:rsidR="005E261D" w:rsidRPr="00FD51C5">
        <w:rPr>
          <w:rFonts w:cs="Times New Roman"/>
          <w:bCs/>
          <w:i/>
          <w:iCs/>
          <w:szCs w:val="24"/>
        </w:rPr>
        <w:t xml:space="preserve">Raven’s Cove Townhomes, Inc. v. </w:t>
      </w:r>
      <w:proofErr w:type="spellStart"/>
      <w:r w:rsidR="005E261D" w:rsidRPr="00FD51C5">
        <w:rPr>
          <w:rFonts w:cs="Times New Roman"/>
          <w:bCs/>
          <w:i/>
          <w:iCs/>
          <w:szCs w:val="24"/>
        </w:rPr>
        <w:t>Kruppe</w:t>
      </w:r>
      <w:proofErr w:type="spellEnd"/>
      <w:r w:rsidR="005E261D" w:rsidRPr="00FD51C5">
        <w:rPr>
          <w:rFonts w:cs="Times New Roman"/>
          <w:bCs/>
          <w:i/>
          <w:iCs/>
          <w:szCs w:val="24"/>
        </w:rPr>
        <w:t xml:space="preserve"> Development Co.</w:t>
      </w:r>
      <w:r w:rsidR="005E261D" w:rsidRPr="00FD51C5">
        <w:rPr>
          <w:rFonts w:cs="Times New Roman"/>
          <w:bCs/>
          <w:szCs w:val="24"/>
        </w:rPr>
        <w:t xml:space="preserve"> (1981) 114 Cal.App.3d 783, 799.)</w:t>
      </w:r>
      <w:r w:rsidR="007515A5">
        <w:rPr>
          <w:rFonts w:cs="Times New Roman"/>
          <w:bCs/>
          <w:szCs w:val="24"/>
        </w:rPr>
        <w:t xml:space="preserve"> This is typically referred to as “self-dealing.”</w:t>
      </w:r>
    </w:p>
    <w:p w14:paraId="5B6D7D52"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0AA434D" w14:textId="77777777" w:rsidR="003F0E15" w:rsidRDefault="00805A7D" w:rsidP="00805A7D">
      <w:pPr>
        <w:spacing w:after="264"/>
        <w:ind w:left="1080" w:hanging="360"/>
        <w:rPr>
          <w:rFonts w:cs="Times New Roman"/>
          <w:bCs/>
          <w:szCs w:val="24"/>
        </w:rPr>
      </w:pPr>
      <w:r>
        <w:rPr>
          <w:rFonts w:cs="Times New Roman"/>
          <w:bCs/>
          <w:szCs w:val="24"/>
        </w:rPr>
        <w:t xml:space="preserve">—  </w:t>
      </w:r>
      <w:r w:rsidR="003D53DE" w:rsidRPr="003D53DE">
        <w:rPr>
          <w:rFonts w:cs="Times New Roman"/>
          <w:bCs/>
          <w:szCs w:val="24"/>
        </w:rPr>
        <w:t xml:space="preserve">If the breach of fiduciary duty results in a breach of CC&amp;Rs, then </w:t>
      </w:r>
      <w:r w:rsidR="00905151">
        <w:rPr>
          <w:rFonts w:cs="Times New Roman"/>
          <w:bCs/>
          <w:szCs w:val="24"/>
        </w:rPr>
        <w:t>compensatory (money) damages</w:t>
      </w:r>
      <w:r w:rsidR="003D53DE">
        <w:rPr>
          <w:rFonts w:cs="Times New Roman"/>
          <w:bCs/>
          <w:szCs w:val="24"/>
        </w:rPr>
        <w:t xml:space="preserve"> </w:t>
      </w:r>
      <w:r w:rsidR="003D53DE" w:rsidRPr="003D53DE">
        <w:rPr>
          <w:rFonts w:cs="Times New Roman"/>
          <w:bCs/>
          <w:szCs w:val="24"/>
        </w:rPr>
        <w:t xml:space="preserve">and injunctive relief may be available. </w:t>
      </w:r>
    </w:p>
    <w:p w14:paraId="51EC13C7" w14:textId="77777777" w:rsidR="003F0E15" w:rsidRDefault="003D53DE" w:rsidP="00011C66">
      <w:pPr>
        <w:spacing w:after="264"/>
        <w:ind w:left="1080" w:hanging="360"/>
        <w:rPr>
          <w:rFonts w:cs="Times New Roman"/>
          <w:bCs/>
          <w:szCs w:val="24"/>
        </w:rPr>
      </w:pPr>
      <w:r>
        <w:rPr>
          <w:rFonts w:cs="Times New Roman"/>
          <w:bCs/>
          <w:szCs w:val="24"/>
        </w:rPr>
        <w:t xml:space="preserve">—  </w:t>
      </w:r>
      <w:r w:rsidRPr="003D53DE">
        <w:rPr>
          <w:rFonts w:cs="Times New Roman"/>
          <w:bCs/>
          <w:szCs w:val="24"/>
        </w:rPr>
        <w:t xml:space="preserve">If the breach results in damage to property, available </w:t>
      </w:r>
      <w:r w:rsidR="002568CD">
        <w:rPr>
          <w:rFonts w:cs="Times New Roman"/>
          <w:bCs/>
          <w:szCs w:val="24"/>
        </w:rPr>
        <w:t xml:space="preserve">compensatory </w:t>
      </w:r>
      <w:r w:rsidRPr="003D53DE">
        <w:rPr>
          <w:rFonts w:cs="Times New Roman"/>
          <w:bCs/>
          <w:szCs w:val="24"/>
        </w:rPr>
        <w:t>damages are the cost to remedy defects and for loss of use during the period of injury. (</w:t>
      </w:r>
      <w:r w:rsidRPr="0002154A">
        <w:rPr>
          <w:rFonts w:cs="Times New Roman"/>
          <w:bCs/>
          <w:i/>
          <w:iCs/>
          <w:szCs w:val="24"/>
        </w:rPr>
        <w:t xml:space="preserve">Raven’s Cove Townhomes Inc. v. </w:t>
      </w:r>
      <w:proofErr w:type="spellStart"/>
      <w:r w:rsidRPr="0002154A">
        <w:rPr>
          <w:rFonts w:cs="Times New Roman"/>
          <w:bCs/>
          <w:i/>
          <w:iCs/>
          <w:szCs w:val="24"/>
        </w:rPr>
        <w:t>Knuppe</w:t>
      </w:r>
      <w:proofErr w:type="spellEnd"/>
      <w:r w:rsidRPr="0002154A">
        <w:rPr>
          <w:rFonts w:cs="Times New Roman"/>
          <w:bCs/>
          <w:i/>
          <w:iCs/>
          <w:szCs w:val="24"/>
        </w:rPr>
        <w:t xml:space="preserve"> Development Co.</w:t>
      </w:r>
      <w:r w:rsidRPr="003D53DE">
        <w:rPr>
          <w:rFonts w:cs="Times New Roman"/>
          <w:bCs/>
          <w:szCs w:val="24"/>
        </w:rPr>
        <w:t xml:space="preserve"> (1981) 114 Cal.App.3d 783, 802</w:t>
      </w:r>
      <w:r w:rsidR="00011C66">
        <w:rPr>
          <w:rFonts w:cs="Times New Roman"/>
          <w:bCs/>
          <w:szCs w:val="24"/>
        </w:rPr>
        <w:t>.)</w:t>
      </w:r>
    </w:p>
    <w:p w14:paraId="18095633" w14:textId="77777777" w:rsidR="003F0E15" w:rsidRDefault="0002154A" w:rsidP="00011C66">
      <w:pPr>
        <w:spacing w:after="264"/>
        <w:ind w:left="1080" w:hanging="360"/>
        <w:rPr>
          <w:rFonts w:cs="Times New Roman"/>
          <w:bCs/>
          <w:szCs w:val="24"/>
        </w:rPr>
      </w:pPr>
      <w:r>
        <w:rPr>
          <w:rFonts w:cs="Times New Roman"/>
          <w:bCs/>
          <w:szCs w:val="24"/>
        </w:rPr>
        <w:t>—  Civ</w:t>
      </w:r>
      <w:r w:rsidR="009B0791">
        <w:rPr>
          <w:rFonts w:cs="Times New Roman"/>
          <w:bCs/>
          <w:szCs w:val="24"/>
        </w:rPr>
        <w:t xml:space="preserve">il </w:t>
      </w:r>
      <w:r>
        <w:rPr>
          <w:rFonts w:cs="Times New Roman"/>
          <w:bCs/>
          <w:szCs w:val="24"/>
        </w:rPr>
        <w:t>Code § 3333: “</w:t>
      </w:r>
      <w:r w:rsidRPr="0002154A">
        <w:rPr>
          <w:rFonts w:cs="Times New Roman"/>
          <w:bCs/>
          <w:szCs w:val="24"/>
        </w:rPr>
        <w:t>For the breach of an obligation not arising from contract, the measure of damages, except where otherwise expressly provided by this Code, is the amount which will compensate for all the detriment proximately caused thereby, whether it could have been anticipated or not.</w:t>
      </w:r>
      <w:r>
        <w:rPr>
          <w:rFonts w:cs="Times New Roman"/>
          <w:bCs/>
          <w:szCs w:val="24"/>
        </w:rPr>
        <w:t>”</w:t>
      </w:r>
    </w:p>
    <w:p w14:paraId="65F72327" w14:textId="77777777" w:rsidR="003F0E15" w:rsidRDefault="002568CD" w:rsidP="00011C66">
      <w:pPr>
        <w:spacing w:after="264"/>
        <w:ind w:left="1080" w:hanging="360"/>
        <w:rPr>
          <w:rFonts w:cs="Times New Roman"/>
          <w:bCs/>
          <w:szCs w:val="24"/>
        </w:rPr>
      </w:pPr>
      <w:r>
        <w:rPr>
          <w:rFonts w:cs="Times New Roman"/>
          <w:bCs/>
          <w:szCs w:val="24"/>
        </w:rPr>
        <w:t xml:space="preserve">—  </w:t>
      </w:r>
      <w:r w:rsidRPr="002568CD">
        <w:rPr>
          <w:rFonts w:cs="Times New Roman"/>
          <w:bCs/>
          <w:szCs w:val="24"/>
        </w:rPr>
        <w:t>Equitable remedies such as constructive trust, rescission, and restitution are available when the defendant has been unjustly enriched by the breach. (</w:t>
      </w:r>
      <w:proofErr w:type="spellStart"/>
      <w:r w:rsidRPr="002568CD">
        <w:rPr>
          <w:rFonts w:cs="Times New Roman"/>
          <w:bCs/>
          <w:i/>
          <w:iCs/>
          <w:szCs w:val="24"/>
        </w:rPr>
        <w:t>Miester</w:t>
      </w:r>
      <w:proofErr w:type="spellEnd"/>
      <w:r w:rsidRPr="002568CD">
        <w:rPr>
          <w:rFonts w:cs="Times New Roman"/>
          <w:bCs/>
          <w:i/>
          <w:iCs/>
          <w:szCs w:val="24"/>
        </w:rPr>
        <w:t xml:space="preserve"> v. Mensinger</w:t>
      </w:r>
      <w:r w:rsidRPr="002568CD">
        <w:rPr>
          <w:rFonts w:cs="Times New Roman"/>
          <w:bCs/>
          <w:szCs w:val="24"/>
        </w:rPr>
        <w:t xml:space="preserve"> (2014) 230 Cal.App.4th 381.)</w:t>
      </w:r>
    </w:p>
    <w:p w14:paraId="59E5AF39" w14:textId="77777777" w:rsidR="003F0E15" w:rsidRDefault="00C20AC3" w:rsidP="00011C66">
      <w:pPr>
        <w:spacing w:after="264"/>
        <w:ind w:left="1080" w:hanging="360"/>
        <w:rPr>
          <w:rFonts w:cs="Times New Roman"/>
          <w:bCs/>
          <w:szCs w:val="24"/>
        </w:rPr>
      </w:pPr>
      <w:r>
        <w:rPr>
          <w:rFonts w:cs="Times New Roman"/>
          <w:bCs/>
          <w:szCs w:val="24"/>
        </w:rPr>
        <w:t xml:space="preserve">—  </w:t>
      </w:r>
      <w:r w:rsidRPr="00C20AC3">
        <w:rPr>
          <w:rFonts w:cs="Times New Roman"/>
          <w:bCs/>
          <w:szCs w:val="24"/>
        </w:rPr>
        <w:t>Punitive damages may be available if the breach constitutes constructive fraud. (Civ. Code.</w:t>
      </w:r>
      <w:r w:rsidR="009B0791">
        <w:rPr>
          <w:rFonts w:cs="Times New Roman"/>
          <w:bCs/>
          <w:szCs w:val="24"/>
        </w:rPr>
        <w:t>,</w:t>
      </w:r>
      <w:r w:rsidRPr="00C20AC3">
        <w:rPr>
          <w:rFonts w:cs="Times New Roman"/>
          <w:bCs/>
          <w:szCs w:val="24"/>
        </w:rPr>
        <w:t xml:space="preserve"> § 3294; </w:t>
      </w:r>
      <w:r w:rsidRPr="00C20AC3">
        <w:rPr>
          <w:rFonts w:cs="Times New Roman"/>
          <w:bCs/>
          <w:i/>
          <w:iCs/>
          <w:szCs w:val="24"/>
        </w:rPr>
        <w:t>Hobbs v. Bateman Eichler, Hill Richards Inc.</w:t>
      </w:r>
      <w:r w:rsidRPr="00C20AC3">
        <w:rPr>
          <w:rFonts w:cs="Times New Roman"/>
          <w:bCs/>
          <w:szCs w:val="24"/>
        </w:rPr>
        <w:t xml:space="preserve"> (1985) 164 Cal.App.3d 174.)</w:t>
      </w:r>
    </w:p>
    <w:p w14:paraId="589BB845" w14:textId="77777777" w:rsidR="003F0E15" w:rsidRDefault="00BA3B40" w:rsidP="00011C66">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36A36943"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8E9C893" w14:textId="77777777" w:rsidR="003F0E15" w:rsidRDefault="00C92595" w:rsidP="00CE6FC7">
      <w:pPr>
        <w:spacing w:after="264"/>
        <w:ind w:left="1080" w:hanging="360"/>
        <w:rPr>
          <w:rFonts w:cs="Times New Roman"/>
          <w:bCs/>
          <w:szCs w:val="24"/>
        </w:rPr>
      </w:pPr>
      <w:r>
        <w:rPr>
          <w:rFonts w:cs="Times New Roman"/>
          <w:bCs/>
          <w:szCs w:val="24"/>
        </w:rPr>
        <w:lastRenderedPageBreak/>
        <w:t xml:space="preserve">—  </w:t>
      </w:r>
      <w:r w:rsidR="009B0791" w:rsidRPr="009B0791">
        <w:rPr>
          <w:rFonts w:cs="Times New Roman"/>
          <w:bCs/>
          <w:szCs w:val="24"/>
        </w:rPr>
        <w:t>A claim for breaching a fiduciary duty must be brought within four years of the breach. (Code Civ. Proc.</w:t>
      </w:r>
      <w:r w:rsidR="009B0791">
        <w:rPr>
          <w:rFonts w:cs="Times New Roman"/>
          <w:bCs/>
          <w:szCs w:val="24"/>
        </w:rPr>
        <w:t>,</w:t>
      </w:r>
      <w:r w:rsidR="009B0791" w:rsidRPr="009B0791">
        <w:rPr>
          <w:rFonts w:cs="Times New Roman"/>
          <w:bCs/>
          <w:szCs w:val="24"/>
        </w:rPr>
        <w:t xml:space="preserve"> § 343; </w:t>
      </w:r>
      <w:r w:rsidR="009B0791" w:rsidRPr="009B0791">
        <w:rPr>
          <w:rFonts w:cs="Times New Roman"/>
          <w:bCs/>
          <w:i/>
          <w:iCs/>
          <w:szCs w:val="24"/>
        </w:rPr>
        <w:t>William L. Lyon &amp; Assoc, Inc. v. Sup. Ct.</w:t>
      </w:r>
      <w:r w:rsidR="009B0791" w:rsidRPr="009B0791">
        <w:rPr>
          <w:rFonts w:cs="Times New Roman"/>
          <w:bCs/>
          <w:szCs w:val="24"/>
        </w:rPr>
        <w:t xml:space="preserve"> (2012) 204 Cal.App.4th 1294, 1312.) If the breach of fiduciary duty stems from the defendant’s fraud</w:t>
      </w:r>
      <w:r w:rsidR="009B0791">
        <w:rPr>
          <w:rFonts w:cs="Times New Roman"/>
          <w:bCs/>
          <w:szCs w:val="24"/>
        </w:rPr>
        <w:t xml:space="preserve"> (even if pleaded as breach of fiduciary duty)</w:t>
      </w:r>
      <w:r w:rsidR="009B0791" w:rsidRPr="009B0791">
        <w:rPr>
          <w:rFonts w:cs="Times New Roman"/>
          <w:bCs/>
          <w:szCs w:val="24"/>
        </w:rPr>
        <w:t xml:space="preserve">, </w:t>
      </w:r>
      <w:r w:rsidR="009B0791">
        <w:rPr>
          <w:rFonts w:cs="Times New Roman"/>
          <w:bCs/>
          <w:szCs w:val="24"/>
        </w:rPr>
        <w:t xml:space="preserve">which has a statute of limitations of only three years, </w:t>
      </w:r>
      <w:r w:rsidR="009B0791" w:rsidRPr="009B0791">
        <w:rPr>
          <w:rFonts w:cs="Times New Roman"/>
          <w:bCs/>
          <w:szCs w:val="24"/>
        </w:rPr>
        <w:t xml:space="preserve">the claim must be brought within </w:t>
      </w:r>
      <w:r w:rsidR="009B0791" w:rsidRPr="009B0791">
        <w:rPr>
          <w:rFonts w:cs="Times New Roman"/>
          <w:bCs/>
          <w:i/>
          <w:iCs/>
          <w:szCs w:val="24"/>
          <w:u w:val="single"/>
        </w:rPr>
        <w:t>three</w:t>
      </w:r>
      <w:r w:rsidR="009B0791" w:rsidRPr="009B0791">
        <w:rPr>
          <w:rFonts w:cs="Times New Roman"/>
          <w:bCs/>
          <w:szCs w:val="24"/>
        </w:rPr>
        <w:t xml:space="preserve"> years. (Code Civ. Proc.</w:t>
      </w:r>
      <w:r w:rsidR="009B0791">
        <w:rPr>
          <w:rFonts w:cs="Times New Roman"/>
          <w:bCs/>
          <w:szCs w:val="24"/>
        </w:rPr>
        <w:t>,</w:t>
      </w:r>
      <w:r w:rsidR="009B0791" w:rsidRPr="009B0791">
        <w:rPr>
          <w:rFonts w:cs="Times New Roman"/>
          <w:bCs/>
          <w:szCs w:val="24"/>
        </w:rPr>
        <w:t xml:space="preserve"> § 338; </w:t>
      </w:r>
      <w:r w:rsidR="009B0791" w:rsidRPr="009B0791">
        <w:rPr>
          <w:rFonts w:cs="Times New Roman"/>
          <w:bCs/>
          <w:i/>
          <w:iCs/>
          <w:szCs w:val="24"/>
        </w:rPr>
        <w:t>Professional Collection Consultants v. Lujan</w:t>
      </w:r>
      <w:r w:rsidR="009B0791" w:rsidRPr="009B0791">
        <w:rPr>
          <w:rFonts w:cs="Times New Roman"/>
          <w:bCs/>
          <w:szCs w:val="24"/>
        </w:rPr>
        <w:t xml:space="preserve"> (2018) 23 Cal.App.5th 685, 691.)</w:t>
      </w:r>
    </w:p>
    <w:p w14:paraId="240D64D2" w14:textId="77777777" w:rsidR="003F0E15" w:rsidRDefault="00DF1E90" w:rsidP="00DF1E9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55EF53E0" w14:textId="77777777" w:rsidR="003F0E15" w:rsidRDefault="00DF1E90" w:rsidP="00DF1E9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breach of fiduciary duty</w:t>
      </w:r>
      <w:r w:rsidRPr="0039236B">
        <w:rPr>
          <w:rFonts w:cs="Times New Roman"/>
          <w:bCs/>
          <w:szCs w:val="24"/>
          <w:highlight w:val="green"/>
        </w:rPr>
        <w:t xml:space="preserve">. If </w:t>
      </w:r>
      <w:r w:rsidR="00C21313">
        <w:rPr>
          <w:rFonts w:cs="Times New Roman"/>
          <w:bCs/>
          <w:szCs w:val="24"/>
          <w:highlight w:val="green"/>
        </w:rPr>
        <w:t>one or more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of the CC&amp;Rs </w:t>
      </w:r>
      <w:r w:rsidR="00C21313">
        <w:rPr>
          <w:rFonts w:cs="Times New Roman"/>
          <w:bCs/>
          <w:szCs w:val="24"/>
          <w:highlight w:val="green"/>
        </w:rPr>
        <w:t>is/are relevant</w:t>
      </w:r>
      <w:r w:rsidRPr="0039236B">
        <w:rPr>
          <w:rFonts w:cs="Times New Roman"/>
          <w:bCs/>
          <w:szCs w:val="24"/>
          <w:highlight w:val="green"/>
        </w:rPr>
        <w:t>, you should cite to that</w:t>
      </w:r>
      <w:r w:rsidR="00C21313">
        <w:rPr>
          <w:rFonts w:cs="Times New Roman"/>
          <w:bCs/>
          <w:szCs w:val="24"/>
          <w:highlight w:val="green"/>
        </w:rPr>
        <w:t>/those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4F1DA6D" w14:textId="77777777" w:rsidR="003F0E15" w:rsidRDefault="00DF1E90" w:rsidP="00DF1E90">
      <w:pPr>
        <w:spacing w:after="264"/>
        <w:ind w:left="1080" w:hanging="360"/>
        <w:rPr>
          <w:rFonts w:cs="Times New Roman"/>
          <w:bCs/>
          <w:szCs w:val="24"/>
          <w:highlight w:val="green"/>
        </w:rPr>
      </w:pPr>
      <w:r w:rsidRPr="002D206C">
        <w:rPr>
          <w:rFonts w:cs="Times New Roman"/>
          <w:bCs/>
          <w:szCs w:val="24"/>
          <w:highlight w:val="green"/>
        </w:rPr>
        <w:t>—  ***</w:t>
      </w:r>
    </w:p>
    <w:p w14:paraId="532B2D88" w14:textId="77777777" w:rsidR="003F0E15" w:rsidRDefault="00DF1E90" w:rsidP="00DF1E90">
      <w:pPr>
        <w:spacing w:after="264"/>
        <w:ind w:left="720"/>
        <w:rPr>
          <w:rFonts w:cs="Times New Roman"/>
          <w:bCs/>
          <w:szCs w:val="24"/>
        </w:rPr>
      </w:pPr>
      <w:r w:rsidRPr="002D206C">
        <w:rPr>
          <w:rFonts w:cs="Times New Roman"/>
          <w:bCs/>
          <w:szCs w:val="24"/>
          <w:highlight w:val="green"/>
        </w:rPr>
        <w:t>—  ***</w:t>
      </w:r>
      <w:r w:rsidR="002662D1" w:rsidRPr="009B4639">
        <w:rPr>
          <w:rFonts w:cs="Times New Roman"/>
          <w:bCs/>
          <w:szCs w:val="24"/>
          <w:highlight w:val="green"/>
        </w:rPr>
        <w:t xml:space="preserve"> </w:t>
      </w:r>
    </w:p>
    <w:p w14:paraId="27266E3F"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6E6F3EF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665499D0"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467BD6E3" w14:textId="77777777" w:rsidR="003F0E15" w:rsidRDefault="002B6C02" w:rsidP="000B74A2">
      <w:pPr>
        <w:spacing w:after="264"/>
        <w:ind w:left="1080" w:hanging="360"/>
        <w:rPr>
          <w:rFonts w:cs="Times New Roman"/>
          <w:szCs w:val="24"/>
        </w:rPr>
      </w:pPr>
      <w:r>
        <w:rPr>
          <w:rFonts w:cs="Times New Roman"/>
          <w:bCs/>
          <w:szCs w:val="24"/>
        </w:rPr>
        <w:t>—  The “failure to maintain” issue discussed in the context of the “Breach of CC&amp;Rs” and “Negligence” causes of action above is also applicable in the context of a nuisance claim.</w:t>
      </w:r>
    </w:p>
    <w:p w14:paraId="413ADFCE" w14:textId="77777777" w:rsidR="003F0E15" w:rsidRDefault="00BF6456" w:rsidP="000B74A2">
      <w:pPr>
        <w:spacing w:after="264"/>
        <w:ind w:left="1080" w:hanging="360"/>
        <w:rPr>
          <w:rFonts w:cs="Times New Roman"/>
          <w:bCs/>
          <w:szCs w:val="24"/>
        </w:rPr>
      </w:pPr>
      <w:r w:rsidRPr="007E2199">
        <w:rPr>
          <w:rFonts w:cs="Times New Roman"/>
          <w:bCs/>
          <w:szCs w:val="24"/>
        </w:rPr>
        <w:t xml:space="preserve">—  </w:t>
      </w:r>
      <w:r w:rsidR="002B5A1F" w:rsidRPr="007E2199">
        <w:rPr>
          <w:rFonts w:cs="Times New Roman"/>
          <w:bCs/>
          <w:szCs w:val="24"/>
        </w:rPr>
        <w:t>Most importantly</w:t>
      </w:r>
      <w:r w:rsidR="009B628B" w:rsidRPr="007E2199">
        <w:rPr>
          <w:rFonts w:cs="Times New Roman"/>
          <w:bCs/>
          <w:szCs w:val="24"/>
        </w:rPr>
        <w:t xml:space="preserve">, </w:t>
      </w:r>
      <w:r>
        <w:rPr>
          <w:rFonts w:cs="Times New Roman"/>
          <w:bCs/>
          <w:szCs w:val="24"/>
        </w:rPr>
        <w:t>Article XVIII, Section 4</w:t>
      </w:r>
      <w:r w:rsidR="009B628B" w:rsidRPr="007E2199">
        <w:rPr>
          <w:rFonts w:cs="Times New Roman"/>
          <w:bCs/>
          <w:szCs w:val="24"/>
        </w:rPr>
        <w:t xml:space="preserve"> </w:t>
      </w:r>
      <w:r w:rsidR="002B5A1F" w:rsidRPr="007E2199">
        <w:rPr>
          <w:rFonts w:cs="Times New Roman"/>
          <w:bCs/>
          <w:szCs w:val="24"/>
        </w:rPr>
        <w:t>of the CC&amp;Rs specifically states that a violation of the CC&amp;Rs gives rise to a separate nuisance claim.</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6CDE733A" w14:textId="77777777" w:rsidR="003F0E15" w:rsidRDefault="00364122" w:rsidP="00364122">
      <w:pPr>
        <w:spacing w:after="264"/>
        <w:ind w:left="1080" w:hanging="360"/>
        <w:rPr>
          <w:rStyle w:val="property1"/>
          <w:rFonts w:eastAsia="Times New Roman" w:cs="Times New Roman"/>
          <w:szCs w:val="24"/>
        </w:rPr>
      </w:pPr>
      <w:r>
        <w:rPr>
          <w:rFonts w:cs="Times New Roman"/>
          <w:bCs/>
          <w:szCs w:val="24"/>
        </w:rPr>
        <w:t>—  The “enforcement” issue</w:t>
      </w:r>
      <w:r w:rsidR="00CD0C1E">
        <w:rPr>
          <w:rFonts w:cs="Times New Roman"/>
          <w:bCs/>
          <w:szCs w:val="24"/>
        </w:rPr>
        <w:t>s</w:t>
      </w:r>
      <w:r>
        <w:rPr>
          <w:rFonts w:cs="Times New Roman"/>
          <w:bCs/>
          <w:szCs w:val="24"/>
        </w:rPr>
        <w:t xml:space="preserve"> discussed in the </w:t>
      </w:r>
      <w:r w:rsidR="003D0844">
        <w:rPr>
          <w:rFonts w:cs="Times New Roman"/>
          <w:bCs/>
          <w:szCs w:val="24"/>
        </w:rPr>
        <w:t xml:space="preserve">context of the </w:t>
      </w:r>
      <w:r>
        <w:rPr>
          <w:rFonts w:cs="Times New Roman"/>
          <w:bCs/>
          <w:szCs w:val="24"/>
        </w:rPr>
        <w:t xml:space="preserve">“Breach of CC&amp;Rs” </w:t>
      </w:r>
      <w:r w:rsidR="00F22C21">
        <w:rPr>
          <w:rFonts w:cs="Times New Roman"/>
          <w:bCs/>
          <w:szCs w:val="24"/>
        </w:rPr>
        <w:t xml:space="preserve">and “Negligence” </w:t>
      </w:r>
      <w:r>
        <w:rPr>
          <w:rFonts w:cs="Times New Roman"/>
          <w:bCs/>
          <w:szCs w:val="24"/>
        </w:rPr>
        <w:t>cause</w:t>
      </w:r>
      <w:r w:rsidR="00F22C21">
        <w:rPr>
          <w:rFonts w:cs="Times New Roman"/>
          <w:bCs/>
          <w:szCs w:val="24"/>
        </w:rPr>
        <w:t>s</w:t>
      </w:r>
      <w:r>
        <w:rPr>
          <w:rFonts w:cs="Times New Roman"/>
          <w:bCs/>
          <w:szCs w:val="24"/>
        </w:rPr>
        <w:t xml:space="preserve"> of action above </w:t>
      </w:r>
      <w:r w:rsidR="00CD0C1E">
        <w:rPr>
          <w:rFonts w:cs="Times New Roman"/>
          <w:bCs/>
          <w:szCs w:val="24"/>
        </w:rPr>
        <w:t>are</w:t>
      </w:r>
      <w:r>
        <w:rPr>
          <w:rFonts w:cs="Times New Roman"/>
          <w:bCs/>
          <w:szCs w:val="24"/>
        </w:rPr>
        <w:t xml:space="preserve"> </w:t>
      </w:r>
      <w:r w:rsidR="00F110B2">
        <w:rPr>
          <w:rFonts w:cs="Times New Roman"/>
          <w:bCs/>
          <w:szCs w:val="24"/>
        </w:rPr>
        <w:t xml:space="preserve">also </w:t>
      </w:r>
      <w:r>
        <w:rPr>
          <w:rFonts w:cs="Times New Roman"/>
          <w:bCs/>
          <w:szCs w:val="24"/>
        </w:rPr>
        <w:t xml:space="preserve">applicable </w:t>
      </w:r>
      <w:r w:rsidR="003D0844">
        <w:rPr>
          <w:rFonts w:cs="Times New Roman"/>
          <w:bCs/>
          <w:szCs w:val="24"/>
        </w:rPr>
        <w:t>to</w:t>
      </w:r>
      <w:r>
        <w:rPr>
          <w:rFonts w:cs="Times New Roman"/>
          <w:bCs/>
          <w:szCs w:val="24"/>
        </w:rPr>
        <w:t xml:space="preserve"> a </w:t>
      </w:r>
      <w:r w:rsidR="00F22C21">
        <w:rPr>
          <w:rFonts w:cs="Times New Roman"/>
          <w:bCs/>
          <w:szCs w:val="24"/>
        </w:rPr>
        <w:t>declaratory relief</w:t>
      </w:r>
      <w:r>
        <w:rPr>
          <w:rFonts w:cs="Times New Roman"/>
          <w:bCs/>
          <w:szCs w:val="24"/>
        </w:rPr>
        <w:t xml:space="preserve"> </w:t>
      </w:r>
      <w:r w:rsidR="00F110B2">
        <w:rPr>
          <w:rFonts w:cs="Times New Roman"/>
          <w:bCs/>
          <w:szCs w:val="24"/>
        </w:rPr>
        <w:t>claim</w:t>
      </w:r>
      <w:r>
        <w:rPr>
          <w:rFonts w:cs="Times New Roman"/>
          <w:bCs/>
          <w:szCs w:val="24"/>
        </w:rPr>
        <w:t>.</w:t>
      </w:r>
    </w:p>
    <w:p w14:paraId="59C77E26" w14:textId="77777777" w:rsidR="003F0E15" w:rsidRDefault="00AE77A7" w:rsidP="0028185A">
      <w:pPr>
        <w:spacing w:after="264"/>
        <w:ind w:left="1080" w:hanging="360"/>
        <w:rPr>
          <w:rFonts w:cs="Times New Roman"/>
          <w:bCs/>
          <w:szCs w:val="24"/>
        </w:rPr>
      </w:pPr>
      <w:r>
        <w:rPr>
          <w:rFonts w:cs="Times New Roman"/>
          <w:bCs/>
          <w:szCs w:val="24"/>
        </w:rPr>
        <w:t>—  The “failure to maintain” issue discussed in the context of the “Breach of CC&amp;Rs,” “Negligence,” and “Nuisance” causes of action above is also applicable in the context of a claim for declaratory relief.</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68501F92" w14:textId="77777777" w:rsidR="003F0E15" w:rsidRDefault="00427E38" w:rsidP="00E13C80">
      <w:pPr>
        <w:pStyle w:val="Heading2"/>
        <w:spacing w:after="264"/>
      </w:pPr>
      <w:r w:rsidRPr="00274E8F">
        <w:fldChar w:fldCharType="begin"/>
      </w:r>
      <w:r w:rsidRPr="00274E8F">
        <w:instrText xml:space="preserve"> LISTNUM LegalDefault \l 2 </w:instrText>
      </w:r>
      <w:r w:rsidRPr="00274E8F">
        <w:fldChar w:fldCharType="end"/>
      </w:r>
      <w:r w:rsidR="00146EC3">
        <w:br/>
      </w:r>
      <w:r>
        <w:t>Equitable Indemnity</w:t>
      </w:r>
    </w:p>
    <w:p w14:paraId="50E807BB" w14:textId="77777777" w:rsidR="003F0E15" w:rsidRDefault="00427E38" w:rsidP="00427E38">
      <w:pPr>
        <w:spacing w:after="264"/>
        <w:rPr>
          <w:rFonts w:cs="Times New Roman"/>
          <w:bCs/>
          <w:szCs w:val="24"/>
        </w:rPr>
      </w:pPr>
      <w:r w:rsidRPr="00CB10A8">
        <w:rPr>
          <w:rFonts w:cs="Times New Roman"/>
          <w:bCs/>
          <w:szCs w:val="24"/>
          <w:u w:val="single"/>
        </w:rPr>
        <w:t>Elements</w:t>
      </w:r>
      <w:r>
        <w:rPr>
          <w:rFonts w:cs="Times New Roman"/>
          <w:bCs/>
          <w:szCs w:val="24"/>
        </w:rPr>
        <w:t>—Equitable Indemnity.</w:t>
      </w:r>
    </w:p>
    <w:p w14:paraId="198F5BE9" w14:textId="77777777" w:rsidR="003F0E15" w:rsidRDefault="00427E38" w:rsidP="00473003">
      <w:pPr>
        <w:spacing w:after="264"/>
        <w:ind w:left="1080" w:hanging="360"/>
        <w:rPr>
          <w:rFonts w:cs="Times New Roman"/>
          <w:bCs/>
          <w:szCs w:val="24"/>
        </w:rPr>
      </w:pPr>
      <w:r>
        <w:rPr>
          <w:rFonts w:cs="Times New Roman"/>
          <w:bCs/>
          <w:szCs w:val="24"/>
        </w:rPr>
        <w:t xml:space="preserve">—  </w:t>
      </w:r>
      <w:r w:rsidRPr="007B3152">
        <w:rPr>
          <w:rFonts w:cs="Times New Roman"/>
          <w:bCs/>
          <w:szCs w:val="24"/>
        </w:rPr>
        <w:t xml:space="preserve">To prevail on a claim for </w:t>
      </w:r>
      <w:r>
        <w:rPr>
          <w:rFonts w:cs="Times New Roman"/>
          <w:bCs/>
          <w:szCs w:val="24"/>
        </w:rPr>
        <w:t>equitable</w:t>
      </w:r>
      <w:r w:rsidRPr="007B3152">
        <w:rPr>
          <w:rFonts w:cs="Times New Roman"/>
          <w:bCs/>
          <w:szCs w:val="24"/>
        </w:rPr>
        <w:t xml:space="preserve"> indemnity, </w:t>
      </w:r>
      <w:r w:rsidR="006007A0">
        <w:rPr>
          <w:rFonts w:cs="Times New Roman"/>
          <w:bCs/>
          <w:szCs w:val="24"/>
        </w:rPr>
        <w:t xml:space="preserve">the </w:t>
      </w:r>
      <w:r w:rsidR="0012753E">
        <w:rPr>
          <w:rFonts w:cs="Times New Roman"/>
          <w:bCs/>
          <w:szCs w:val="24"/>
        </w:rPr>
        <w:t>indemnitee (the person who is entitled to indemnity protection and is thus bringing the claim for express indemnity) must prove</w:t>
      </w:r>
      <w:r w:rsidRPr="007B3152">
        <w:rPr>
          <w:rFonts w:cs="Times New Roman"/>
          <w:bCs/>
          <w:szCs w:val="24"/>
        </w:rPr>
        <w:t xml:space="preserve"> </w:t>
      </w:r>
      <w:r w:rsidR="0012753E">
        <w:rPr>
          <w:rFonts w:cs="Times New Roman"/>
          <w:bCs/>
          <w:szCs w:val="24"/>
        </w:rPr>
        <w:t xml:space="preserve">that the: (i) </w:t>
      </w:r>
      <w:r w:rsidR="0012753E" w:rsidRPr="0012753E">
        <w:rPr>
          <w:rFonts w:cs="Times New Roman"/>
          <w:bCs/>
          <w:szCs w:val="24"/>
        </w:rPr>
        <w:t>indemnitee is liable to a third party; (ii) indemnitor’s conduct was negligent or tortious; and (ii) indemnitor was equitably responsible for the third party’s liability</w:t>
      </w:r>
      <w:r w:rsidR="001F6DC7">
        <w:rPr>
          <w:rFonts w:cs="Times New Roman"/>
          <w:bCs/>
          <w:szCs w:val="24"/>
        </w:rPr>
        <w:t xml:space="preserve"> (rather than the indemnitee being liable)</w:t>
      </w:r>
      <w:r w:rsidR="0012753E" w:rsidRPr="0012753E">
        <w:rPr>
          <w:rFonts w:cs="Times New Roman"/>
          <w:bCs/>
          <w:szCs w:val="24"/>
        </w:rPr>
        <w:t>. (</w:t>
      </w:r>
      <w:r w:rsidR="0012753E" w:rsidRPr="001F6DC7">
        <w:rPr>
          <w:rFonts w:cs="Times New Roman"/>
          <w:bCs/>
          <w:i/>
          <w:iCs/>
          <w:szCs w:val="24"/>
        </w:rPr>
        <w:t>Bailey v. Safeway, Inc.</w:t>
      </w:r>
      <w:r w:rsidR="0012753E" w:rsidRPr="0012753E">
        <w:rPr>
          <w:rFonts w:cs="Times New Roman"/>
          <w:bCs/>
          <w:szCs w:val="24"/>
        </w:rPr>
        <w:t xml:space="preserve"> (2011) 199 Cal.App.4th 206, 217.) </w:t>
      </w:r>
    </w:p>
    <w:p w14:paraId="5B89392C" w14:textId="77777777" w:rsidR="003F0E15" w:rsidRDefault="00473003" w:rsidP="00473003">
      <w:pPr>
        <w:spacing w:after="264"/>
        <w:ind w:left="1080" w:hanging="360"/>
        <w:rPr>
          <w:rFonts w:cs="Times New Roman"/>
          <w:bCs/>
          <w:szCs w:val="24"/>
        </w:rPr>
      </w:pPr>
      <w:r>
        <w:rPr>
          <w:rFonts w:cs="Times New Roman"/>
          <w:bCs/>
          <w:szCs w:val="24"/>
        </w:rPr>
        <w:lastRenderedPageBreak/>
        <w:t xml:space="preserve">—  </w:t>
      </w:r>
      <w:r w:rsidR="0012753E" w:rsidRPr="0012753E">
        <w:rPr>
          <w:rFonts w:cs="Times New Roman"/>
          <w:bCs/>
          <w:szCs w:val="24"/>
        </w:rPr>
        <w:t>Equitable indemnity is similar to comparative fault in that liability to third party is apportioned between the indemnitee and the indemnitor. (</w:t>
      </w:r>
      <w:r w:rsidR="0012753E" w:rsidRPr="001F6DC7">
        <w:rPr>
          <w:rFonts w:cs="Times New Roman"/>
          <w:bCs/>
          <w:i/>
          <w:iCs/>
          <w:szCs w:val="24"/>
        </w:rPr>
        <w:t>C.W. Howe Partners Inc. v. Mooradian</w:t>
      </w:r>
      <w:r w:rsidR="0012753E" w:rsidRPr="0012753E">
        <w:rPr>
          <w:rFonts w:cs="Times New Roman"/>
          <w:bCs/>
          <w:szCs w:val="24"/>
        </w:rPr>
        <w:t xml:space="preserve"> (2019) 43 Cal.App.5th 688, 700.)</w:t>
      </w:r>
    </w:p>
    <w:p w14:paraId="094DF8E5" w14:textId="77777777" w:rsidR="003F0E15" w:rsidRDefault="00473003" w:rsidP="00473003">
      <w:pPr>
        <w:spacing w:after="264"/>
        <w:ind w:left="1350" w:hanging="270"/>
        <w:rPr>
          <w:rFonts w:cs="Times New Roman"/>
          <w:bCs/>
          <w:szCs w:val="24"/>
        </w:rPr>
      </w:pPr>
      <w:r>
        <w:rPr>
          <w:rFonts w:cs="Times New Roman"/>
          <w:bCs/>
          <w:szCs w:val="24"/>
        </w:rPr>
        <w:t xml:space="preserve">•   </w:t>
      </w:r>
      <w:r w:rsidRPr="00473003">
        <w:rPr>
          <w:rFonts w:cs="Times New Roman"/>
          <w:bCs/>
          <w:szCs w:val="24"/>
        </w:rPr>
        <w:t>Equitable indemnity typically arises when one party (the indemnitee) is ordered to pay a judgment to a third party (a plaintiff from a prior case), and the indemnitee’s liability stems from the indemnitor’s conduct. For example, Tim was driving his car when Brad negligently ran into the street. Tim swerved to avoid Brad but hit Jessica’s car. Jessica sued Tim</w:t>
      </w:r>
      <w:r>
        <w:rPr>
          <w:rFonts w:cs="Times New Roman"/>
          <w:bCs/>
          <w:szCs w:val="24"/>
        </w:rPr>
        <w:t xml:space="preserve">. </w:t>
      </w:r>
      <w:r w:rsidRPr="00473003">
        <w:rPr>
          <w:rFonts w:cs="Times New Roman"/>
          <w:bCs/>
          <w:szCs w:val="24"/>
        </w:rPr>
        <w:t>Tim now brings a claim for equitable indemnity against Brad.</w:t>
      </w:r>
      <w:r>
        <w:rPr>
          <w:rFonts w:cs="Times New Roman"/>
          <w:bCs/>
          <w:szCs w:val="24"/>
        </w:rPr>
        <w:t xml:space="preserve"> Tim could cross-claim against Brad during the pendency of the lawsuit with Jessica, or Tim could wait to see if Jessica obtained a judgment against him, and then pursue Brad.  </w:t>
      </w:r>
    </w:p>
    <w:p w14:paraId="5EDFFE3C" w14:textId="77777777" w:rsidR="003F0E15" w:rsidRDefault="00427E38" w:rsidP="00427E38">
      <w:pPr>
        <w:spacing w:after="264"/>
        <w:rPr>
          <w:rFonts w:cs="Times New Roman"/>
          <w:bCs/>
          <w:szCs w:val="24"/>
        </w:rPr>
      </w:pPr>
      <w:r>
        <w:rPr>
          <w:rFonts w:cs="Times New Roman"/>
          <w:bCs/>
          <w:szCs w:val="24"/>
          <w:u w:val="single"/>
        </w:rPr>
        <w:t>Remedies</w:t>
      </w:r>
      <w:r>
        <w:rPr>
          <w:rFonts w:cs="Times New Roman"/>
          <w:bCs/>
          <w:szCs w:val="24"/>
        </w:rPr>
        <w:t>—</w:t>
      </w:r>
    </w:p>
    <w:p w14:paraId="12DAD46B" w14:textId="77777777" w:rsidR="003F0E15" w:rsidRDefault="00427E38" w:rsidP="00427E38">
      <w:pPr>
        <w:spacing w:after="264"/>
        <w:ind w:left="1080" w:hanging="360"/>
        <w:rPr>
          <w:rFonts w:cs="Times New Roman"/>
          <w:bCs/>
          <w:szCs w:val="24"/>
        </w:rPr>
      </w:pPr>
      <w:r w:rsidRPr="00311139">
        <w:rPr>
          <w:rFonts w:cs="Times New Roman"/>
          <w:bCs/>
          <w:szCs w:val="24"/>
        </w:rPr>
        <w:t xml:space="preserve">—  </w:t>
      </w:r>
      <w:r w:rsidR="00473003" w:rsidRPr="00473003">
        <w:rPr>
          <w:rFonts w:cs="Times New Roman"/>
          <w:bCs/>
          <w:szCs w:val="24"/>
        </w:rPr>
        <w:t>Proving a claim for equitable indemnity entitles the indemnitee to restitution from the indemnitor for the amount of fault attributable to the indemnitor. (</w:t>
      </w:r>
      <w:r w:rsidR="00473003" w:rsidRPr="00473003">
        <w:rPr>
          <w:rFonts w:cs="Times New Roman"/>
          <w:bCs/>
          <w:i/>
          <w:iCs/>
          <w:szCs w:val="24"/>
        </w:rPr>
        <w:t>AmeriGas Propane, L.P. v. Landstar Ranger, Inc.</w:t>
      </w:r>
      <w:r w:rsidR="00473003" w:rsidRPr="00473003">
        <w:rPr>
          <w:rFonts w:cs="Times New Roman"/>
          <w:bCs/>
          <w:szCs w:val="24"/>
        </w:rPr>
        <w:t xml:space="preserve"> (2010) 184 Cal.App.4th 981, 989.)</w:t>
      </w:r>
    </w:p>
    <w:p w14:paraId="421FD87C" w14:textId="77777777" w:rsidR="003F0E15" w:rsidRDefault="00427E38" w:rsidP="00427E38">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5FBDD6A" w14:textId="77777777" w:rsidR="003F0E15" w:rsidRDefault="00427E38" w:rsidP="00427E38">
      <w:pPr>
        <w:spacing w:after="264"/>
        <w:ind w:left="1080" w:hanging="360"/>
        <w:rPr>
          <w:rFonts w:cs="Times New Roman"/>
          <w:bCs/>
          <w:szCs w:val="24"/>
        </w:rPr>
      </w:pPr>
      <w:r>
        <w:rPr>
          <w:rFonts w:cs="Times New Roman"/>
          <w:bCs/>
          <w:szCs w:val="24"/>
        </w:rPr>
        <w:t xml:space="preserve">—  </w:t>
      </w:r>
      <w:r w:rsidR="00473003" w:rsidRPr="00473003">
        <w:rPr>
          <w:rFonts w:cs="Times New Roman"/>
          <w:bCs/>
          <w:szCs w:val="24"/>
        </w:rPr>
        <w:t>A claim for equitable indemnity must be brought within two years. (</w:t>
      </w:r>
      <w:r w:rsidR="00473003" w:rsidRPr="00473003">
        <w:rPr>
          <w:rFonts w:cs="Times New Roman"/>
          <w:bCs/>
          <w:i/>
          <w:iCs/>
          <w:szCs w:val="24"/>
        </w:rPr>
        <w:t xml:space="preserve">Am. States Ins. Co. v. </w:t>
      </w:r>
      <w:proofErr w:type="spellStart"/>
      <w:r w:rsidR="00473003" w:rsidRPr="00473003">
        <w:rPr>
          <w:rFonts w:cs="Times New Roman"/>
          <w:bCs/>
          <w:i/>
          <w:iCs/>
          <w:szCs w:val="24"/>
        </w:rPr>
        <w:t>Nat'l</w:t>
      </w:r>
      <w:proofErr w:type="spellEnd"/>
      <w:r w:rsidR="00473003" w:rsidRPr="00473003">
        <w:rPr>
          <w:rFonts w:cs="Times New Roman"/>
          <w:bCs/>
          <w:i/>
          <w:iCs/>
          <w:szCs w:val="24"/>
        </w:rPr>
        <w:t xml:space="preserve"> Fire Ins. Co. of Hartford</w:t>
      </w:r>
      <w:r w:rsidR="00473003" w:rsidRPr="00473003">
        <w:rPr>
          <w:rFonts w:cs="Times New Roman"/>
          <w:bCs/>
          <w:szCs w:val="24"/>
        </w:rPr>
        <w:t xml:space="preserve"> (2011) 202 Cal.App.4th 692, 699; Code Civ. Proc., § 339(1).)</w:t>
      </w:r>
    </w:p>
    <w:p w14:paraId="6CEC6093" w14:textId="77777777" w:rsidR="003F0E15" w:rsidRDefault="00427E38" w:rsidP="00427E38">
      <w:pPr>
        <w:spacing w:after="264"/>
        <w:ind w:left="1350" w:hanging="270"/>
        <w:rPr>
          <w:rFonts w:cs="Times New Roman"/>
          <w:bCs/>
          <w:szCs w:val="24"/>
        </w:rPr>
      </w:pPr>
      <w:r>
        <w:rPr>
          <w:rFonts w:cs="Times New Roman"/>
          <w:bCs/>
          <w:szCs w:val="24"/>
        </w:rPr>
        <w:t xml:space="preserve">•   </w:t>
      </w:r>
      <w:r w:rsidR="00473003" w:rsidRPr="00484FE7">
        <w:rPr>
          <w:rFonts w:cs="Times New Roman"/>
          <w:bCs/>
          <w:szCs w:val="24"/>
        </w:rPr>
        <w:t xml:space="preserve">A claim for </w:t>
      </w:r>
      <w:r w:rsidR="006E0B3F">
        <w:rPr>
          <w:rFonts w:cs="Times New Roman"/>
          <w:bCs/>
          <w:szCs w:val="24"/>
        </w:rPr>
        <w:t>equitable</w:t>
      </w:r>
      <w:r w:rsidR="00473003" w:rsidRPr="00484FE7">
        <w:rPr>
          <w:rFonts w:cs="Times New Roman"/>
          <w:bCs/>
          <w:szCs w:val="24"/>
        </w:rPr>
        <w:t xml:space="preserve"> indemnity does not accrue until the indemnitee actually </w:t>
      </w:r>
      <w:r w:rsidR="00473003">
        <w:rPr>
          <w:rFonts w:cs="Times New Roman"/>
          <w:bCs/>
          <w:szCs w:val="24"/>
        </w:rPr>
        <w:t xml:space="preserve">either </w:t>
      </w:r>
      <w:r w:rsidR="00473003" w:rsidRPr="00484FE7">
        <w:rPr>
          <w:rFonts w:cs="Times New Roman"/>
          <w:bCs/>
          <w:szCs w:val="24"/>
        </w:rPr>
        <w:t>pays the third party</w:t>
      </w:r>
      <w:r w:rsidR="00473003">
        <w:rPr>
          <w:rFonts w:cs="Times New Roman"/>
          <w:bCs/>
          <w:szCs w:val="24"/>
        </w:rPr>
        <w:t xml:space="preserve">, or incurs expenses for his or her defense that should’ve been covered by the indemnitor. When the underlying third party’s injury occurred is irrelevant. </w:t>
      </w:r>
      <w:r w:rsidR="00473003" w:rsidRPr="00473003">
        <w:rPr>
          <w:rFonts w:cs="Times New Roman"/>
          <w:bCs/>
          <w:szCs w:val="24"/>
        </w:rPr>
        <w:t>(</w:t>
      </w:r>
      <w:r w:rsidR="00473003" w:rsidRPr="00473003">
        <w:rPr>
          <w:rFonts w:cs="Times New Roman"/>
          <w:bCs/>
          <w:i/>
          <w:iCs/>
          <w:szCs w:val="24"/>
        </w:rPr>
        <w:t>Lantzy v. Centex Homes</w:t>
      </w:r>
      <w:r w:rsidR="00473003" w:rsidRPr="00473003">
        <w:rPr>
          <w:rFonts w:cs="Times New Roman"/>
          <w:bCs/>
          <w:szCs w:val="24"/>
        </w:rPr>
        <w:t xml:space="preserve"> (2003) 31 Cal.4th 363, 378, fn. 12</w:t>
      </w:r>
      <w:r w:rsidR="000542B9">
        <w:rPr>
          <w:rFonts w:cs="Times New Roman"/>
          <w:bCs/>
          <w:szCs w:val="24"/>
        </w:rPr>
        <w:t>.)</w:t>
      </w:r>
    </w:p>
    <w:p w14:paraId="5190005E" w14:textId="77777777" w:rsidR="003F0E15" w:rsidRDefault="00427E38" w:rsidP="00427E38">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CF8B4EB" w14:textId="77777777" w:rsidR="003F0E15" w:rsidRDefault="00427E38" w:rsidP="00427E38">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w:t>
      </w:r>
      <w:r w:rsidRPr="004F4E23">
        <w:rPr>
          <w:rFonts w:cs="Times New Roman"/>
          <w:bCs/>
          <w:szCs w:val="24"/>
          <w:highlight w:val="green"/>
        </w:rPr>
        <w:t xml:space="preserve">for </w:t>
      </w:r>
      <w:r w:rsidR="004F4E23" w:rsidRPr="004F4E23">
        <w:rPr>
          <w:rFonts w:cs="Times New Roman"/>
          <w:bCs/>
          <w:i/>
          <w:iCs/>
          <w:szCs w:val="24"/>
          <w:highlight w:val="green"/>
        </w:rPr>
        <w:t>equitable indemnity</w:t>
      </w:r>
      <w:r w:rsidRPr="004F4E23">
        <w:rPr>
          <w:rFonts w:cs="Times New Roman"/>
          <w:bCs/>
          <w:szCs w:val="24"/>
          <w:highlight w:val="green"/>
        </w:rPr>
        <w:t>. If one or more provisions of the CC&amp;Rs is/are relevant (e.g., nuisance), yo</w:t>
      </w:r>
      <w:r w:rsidRPr="0039236B">
        <w:rPr>
          <w:rFonts w:cs="Times New Roman"/>
          <w:bCs/>
          <w:szCs w:val="24"/>
          <w:highlight w:val="green"/>
        </w:rPr>
        <w:t>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7AD399A" w14:textId="77777777" w:rsidR="003F0E15" w:rsidRDefault="00427E38" w:rsidP="00427E38">
      <w:pPr>
        <w:spacing w:after="264"/>
        <w:ind w:left="1080" w:hanging="360"/>
        <w:rPr>
          <w:rFonts w:cs="Times New Roman"/>
          <w:bCs/>
          <w:szCs w:val="24"/>
          <w:highlight w:val="green"/>
        </w:rPr>
      </w:pPr>
      <w:r w:rsidRPr="002D206C">
        <w:rPr>
          <w:rFonts w:cs="Times New Roman"/>
          <w:bCs/>
          <w:szCs w:val="24"/>
          <w:highlight w:val="green"/>
        </w:rPr>
        <w:t>—  ***</w:t>
      </w:r>
    </w:p>
    <w:p w14:paraId="33FFFFC2" w14:textId="77777777" w:rsidR="003F0E15" w:rsidRDefault="00427E38" w:rsidP="00427E38">
      <w:pPr>
        <w:spacing w:after="264"/>
        <w:ind w:left="720"/>
        <w:rPr>
          <w:rFonts w:cs="Times New Roman"/>
          <w:bCs/>
          <w:szCs w:val="24"/>
        </w:rPr>
      </w:pPr>
      <w:r w:rsidRPr="002D206C">
        <w:rPr>
          <w:rFonts w:cs="Times New Roman"/>
          <w:bCs/>
          <w:szCs w:val="24"/>
          <w:highlight w:val="green"/>
        </w:rPr>
        <w:t>—  ***</w:t>
      </w:r>
    </w:p>
    <w:p w14:paraId="45D79105" w14:textId="77777777" w:rsidR="003F0E15" w:rsidRDefault="00427E38" w:rsidP="00427E3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216A9210" w14:textId="77777777" w:rsidR="003F0E15" w:rsidRDefault="00427E38" w:rsidP="00427E38">
      <w:pPr>
        <w:spacing w:after="264"/>
        <w:ind w:left="1080" w:hanging="360"/>
        <w:rPr>
          <w:rFonts w:cs="Times New Roman"/>
          <w:bCs/>
          <w:szCs w:val="24"/>
        </w:rPr>
      </w:pPr>
      <w:r>
        <w:rPr>
          <w:rFonts w:cs="Times New Roman"/>
          <w:bCs/>
          <w:szCs w:val="24"/>
          <w:highlight w:val="green"/>
        </w:rPr>
        <w:lastRenderedPageBreak/>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0AB166A8" w14:textId="77777777" w:rsidR="003F0E15" w:rsidRDefault="00427E38" w:rsidP="00427E3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0D219544" w14:textId="77777777" w:rsidR="003F0E15" w:rsidRDefault="000542B9" w:rsidP="00E13C80">
      <w:pPr>
        <w:pStyle w:val="Heading2"/>
        <w:spacing w:after="264"/>
      </w:pPr>
      <w:r w:rsidRPr="00274E8F">
        <w:fldChar w:fldCharType="begin"/>
      </w:r>
      <w:r w:rsidRPr="00274E8F">
        <w:instrText xml:space="preserve"> LISTNUM LegalDefault \l 2 </w:instrText>
      </w:r>
      <w:r w:rsidRPr="00274E8F">
        <w:fldChar w:fldCharType="end"/>
      </w:r>
      <w:r w:rsidR="00146EC3">
        <w:br/>
      </w:r>
      <w:r w:rsidRPr="000542B9">
        <w:t>Failure to Permit Inspection of Record</w:t>
      </w:r>
      <w:r>
        <w:t>s</w:t>
      </w:r>
    </w:p>
    <w:p w14:paraId="1EFFF759" w14:textId="77777777" w:rsidR="003F0E15" w:rsidRDefault="000542B9" w:rsidP="000542B9">
      <w:pPr>
        <w:spacing w:after="264"/>
        <w:rPr>
          <w:rFonts w:cs="Times New Roman"/>
          <w:bCs/>
          <w:szCs w:val="24"/>
        </w:rPr>
      </w:pPr>
      <w:r w:rsidRPr="00CB10A8">
        <w:rPr>
          <w:rFonts w:cs="Times New Roman"/>
          <w:bCs/>
          <w:szCs w:val="24"/>
          <w:u w:val="single"/>
        </w:rPr>
        <w:t>Elements</w:t>
      </w:r>
      <w:r>
        <w:rPr>
          <w:rFonts w:cs="Times New Roman"/>
          <w:bCs/>
          <w:szCs w:val="24"/>
        </w:rPr>
        <w:t>—</w:t>
      </w:r>
      <w:r w:rsidRPr="000542B9">
        <w:rPr>
          <w:rFonts w:cs="Times New Roman"/>
          <w:bCs/>
          <w:szCs w:val="24"/>
        </w:rPr>
        <w:t>Failure to Permit Inspection of Record</w:t>
      </w:r>
      <w:r>
        <w:rPr>
          <w:rFonts w:cs="Times New Roman"/>
          <w:bCs/>
          <w:szCs w:val="24"/>
        </w:rPr>
        <w:t>s.</w:t>
      </w:r>
    </w:p>
    <w:p w14:paraId="6E221EA4" w14:textId="77777777" w:rsidR="003F0E15" w:rsidRDefault="000542B9" w:rsidP="000542B9">
      <w:pPr>
        <w:spacing w:after="264"/>
        <w:ind w:left="1080" w:hanging="360"/>
        <w:rPr>
          <w:rFonts w:cs="Times New Roman"/>
          <w:bCs/>
          <w:szCs w:val="24"/>
        </w:rPr>
      </w:pPr>
      <w:r>
        <w:rPr>
          <w:rFonts w:cs="Times New Roman"/>
          <w:bCs/>
          <w:szCs w:val="24"/>
        </w:rPr>
        <w:t xml:space="preserve">—  </w:t>
      </w:r>
      <w:r w:rsidR="00B84E98" w:rsidRPr="00B84E98">
        <w:rPr>
          <w:rFonts w:cs="Times New Roman"/>
          <w:bCs/>
          <w:szCs w:val="24"/>
        </w:rPr>
        <w:t xml:space="preserve">To prevail on a claim for failing to allow the plaintiff to inspect the </w:t>
      </w:r>
      <w:r w:rsidR="00B84E98">
        <w:rPr>
          <w:rFonts w:cs="Times New Roman"/>
          <w:bCs/>
          <w:szCs w:val="24"/>
        </w:rPr>
        <w:t>HOA’s</w:t>
      </w:r>
      <w:r w:rsidR="00B84E98" w:rsidRPr="00B84E98">
        <w:rPr>
          <w:rFonts w:cs="Times New Roman"/>
          <w:bCs/>
          <w:szCs w:val="24"/>
        </w:rPr>
        <w:t xml:space="preserve"> records, the plaintiff must prove that</w:t>
      </w:r>
      <w:r w:rsidR="00B84E98">
        <w:rPr>
          <w:rFonts w:cs="Times New Roman"/>
          <w:bCs/>
          <w:szCs w:val="24"/>
        </w:rPr>
        <w:t>:</w:t>
      </w:r>
      <w:r w:rsidR="00B84E98" w:rsidRPr="00B84E98">
        <w:rPr>
          <w:rFonts w:cs="Times New Roman"/>
          <w:bCs/>
          <w:szCs w:val="24"/>
        </w:rPr>
        <w:t xml:space="preserve"> (i) </w:t>
      </w:r>
      <w:r w:rsidR="00B84E98">
        <w:rPr>
          <w:rFonts w:cs="Times New Roman"/>
          <w:bCs/>
          <w:szCs w:val="24"/>
        </w:rPr>
        <w:t>he or she</w:t>
      </w:r>
      <w:r w:rsidR="00B84E98" w:rsidRPr="00B84E98">
        <w:rPr>
          <w:rFonts w:cs="Times New Roman"/>
          <w:bCs/>
          <w:szCs w:val="24"/>
        </w:rPr>
        <w:t xml:space="preserve"> is a member of the association; (ii) </w:t>
      </w:r>
      <w:r w:rsidR="00B84E98">
        <w:rPr>
          <w:rFonts w:cs="Times New Roman"/>
          <w:bCs/>
          <w:szCs w:val="24"/>
        </w:rPr>
        <w:t xml:space="preserve">he or she made a written request to the HOA that it make </w:t>
      </w:r>
      <w:r w:rsidR="00B84E98" w:rsidRPr="00B84E98">
        <w:rPr>
          <w:rFonts w:cs="Times New Roman"/>
          <w:bCs/>
          <w:szCs w:val="24"/>
        </w:rPr>
        <w:t xml:space="preserve">its records available for inspection; (iii) </w:t>
      </w:r>
      <w:r w:rsidR="00B84E98">
        <w:rPr>
          <w:rFonts w:cs="Times New Roman"/>
          <w:bCs/>
          <w:szCs w:val="24"/>
        </w:rPr>
        <w:t>he or she</w:t>
      </w:r>
      <w:r w:rsidR="00B84E98" w:rsidRPr="00B84E98">
        <w:rPr>
          <w:rFonts w:cs="Times New Roman"/>
          <w:bCs/>
          <w:szCs w:val="24"/>
        </w:rPr>
        <w:t xml:space="preserve"> had </w:t>
      </w:r>
      <w:r w:rsidR="00B84E98">
        <w:rPr>
          <w:rFonts w:cs="Times New Roman"/>
          <w:bCs/>
          <w:szCs w:val="24"/>
        </w:rPr>
        <w:t xml:space="preserve">a </w:t>
      </w:r>
      <w:r w:rsidR="00B84E98" w:rsidRPr="00B84E98">
        <w:rPr>
          <w:rFonts w:cs="Times New Roman"/>
          <w:bCs/>
          <w:szCs w:val="24"/>
        </w:rPr>
        <w:t xml:space="preserve">proper purpose for requesting to inspect the records related to his or her interests as an HOA member; and (iv) </w:t>
      </w:r>
      <w:r w:rsidR="00B84E98">
        <w:rPr>
          <w:rFonts w:cs="Times New Roman"/>
          <w:bCs/>
          <w:szCs w:val="24"/>
        </w:rPr>
        <w:t xml:space="preserve">the HOA </w:t>
      </w:r>
      <w:r w:rsidR="00B84E98" w:rsidRPr="00B84E98">
        <w:rPr>
          <w:rFonts w:cs="Times New Roman"/>
          <w:bCs/>
          <w:szCs w:val="24"/>
        </w:rPr>
        <w:t>either (a) refused to allow the inspection, (b) ignored the plaintiff’s request, or (c) did not make all permitted and requested records available. (Civ. Code, § 5200 et seq.)</w:t>
      </w:r>
      <w:r w:rsidRPr="0012753E">
        <w:rPr>
          <w:rFonts w:cs="Times New Roman"/>
          <w:bCs/>
          <w:szCs w:val="24"/>
        </w:rPr>
        <w:t xml:space="preserve"> </w:t>
      </w:r>
    </w:p>
    <w:p w14:paraId="1242F111" w14:textId="77777777" w:rsidR="003F0E15" w:rsidRDefault="000542B9" w:rsidP="000542B9">
      <w:pPr>
        <w:spacing w:after="264"/>
        <w:rPr>
          <w:rFonts w:cs="Times New Roman"/>
          <w:bCs/>
          <w:szCs w:val="24"/>
        </w:rPr>
      </w:pPr>
      <w:r>
        <w:rPr>
          <w:rFonts w:cs="Times New Roman"/>
          <w:bCs/>
          <w:szCs w:val="24"/>
          <w:u w:val="single"/>
        </w:rPr>
        <w:t>Remedies</w:t>
      </w:r>
      <w:r>
        <w:rPr>
          <w:rFonts w:cs="Times New Roman"/>
          <w:bCs/>
          <w:szCs w:val="24"/>
        </w:rPr>
        <w:t>—</w:t>
      </w:r>
    </w:p>
    <w:p w14:paraId="46EFF889" w14:textId="77777777" w:rsidR="003F0E15" w:rsidRDefault="000542B9" w:rsidP="000542B9">
      <w:pPr>
        <w:spacing w:after="264"/>
        <w:ind w:left="1080" w:hanging="360"/>
        <w:rPr>
          <w:rFonts w:cs="Times New Roman"/>
          <w:bCs/>
          <w:szCs w:val="24"/>
        </w:rPr>
      </w:pPr>
      <w:r w:rsidRPr="00311139">
        <w:rPr>
          <w:rFonts w:cs="Times New Roman"/>
          <w:bCs/>
          <w:szCs w:val="24"/>
        </w:rPr>
        <w:t xml:space="preserve">—  </w:t>
      </w:r>
      <w:r w:rsidR="00C000DB" w:rsidRPr="00C000DB">
        <w:rPr>
          <w:rFonts w:cs="Times New Roman"/>
          <w:bCs/>
          <w:szCs w:val="24"/>
        </w:rPr>
        <w:t>If the plaintiff can prove that the HOA failed to allow him or her to inspect the records, the plaintiff can obtain injunctive relief ordering the HOA to allow the inspection. Additionally, if the HOA’s refusal</w:t>
      </w:r>
      <w:r w:rsidR="00C000DB">
        <w:rPr>
          <w:rFonts w:cs="Times New Roman"/>
          <w:bCs/>
          <w:szCs w:val="24"/>
        </w:rPr>
        <w:t xml:space="preserve"> is deemed to have been </w:t>
      </w:r>
      <w:r w:rsidR="00C000DB" w:rsidRPr="00C000DB">
        <w:rPr>
          <w:rFonts w:cs="Times New Roman"/>
          <w:bCs/>
          <w:szCs w:val="24"/>
        </w:rPr>
        <w:t>unreasonable, the plaintiff may be entitled to a civil penalty of up to $500 for each separate request that was denied</w:t>
      </w:r>
      <w:r w:rsidR="00C000DB">
        <w:rPr>
          <w:rFonts w:cs="Times New Roman"/>
          <w:bCs/>
          <w:szCs w:val="24"/>
        </w:rPr>
        <w:t xml:space="preserve">, as well as all of his or her attorneys’ fees and costs. </w:t>
      </w:r>
      <w:r w:rsidR="00C000DB" w:rsidRPr="00C000DB">
        <w:rPr>
          <w:rFonts w:cs="Times New Roman"/>
          <w:bCs/>
          <w:szCs w:val="24"/>
        </w:rPr>
        <w:t>(Civ. Code, § 5235(a).)</w:t>
      </w:r>
    </w:p>
    <w:p w14:paraId="4E8E0E75" w14:textId="77777777" w:rsidR="003F0E15" w:rsidRDefault="00C000DB" w:rsidP="000542B9">
      <w:pPr>
        <w:spacing w:after="264"/>
        <w:ind w:left="1080" w:hanging="360"/>
        <w:rPr>
          <w:rFonts w:cs="Times New Roman"/>
          <w:bCs/>
          <w:szCs w:val="24"/>
        </w:rPr>
      </w:pPr>
      <w:r>
        <w:rPr>
          <w:rFonts w:cs="Times New Roman"/>
          <w:bCs/>
          <w:szCs w:val="24"/>
        </w:rPr>
        <w:t xml:space="preserve">—  </w:t>
      </w:r>
      <w:r w:rsidRPr="00C000DB">
        <w:rPr>
          <w:rFonts w:cs="Times New Roman"/>
          <w:bCs/>
          <w:szCs w:val="24"/>
        </w:rPr>
        <w:t>Given the potentially low value of this claim, it likely needs to be brought in small claims court if it is the plaintiff’s only cause of action. (Civ. Code, § 5235(b).)</w:t>
      </w:r>
    </w:p>
    <w:p w14:paraId="76F9205D" w14:textId="77777777" w:rsidR="003F0E15" w:rsidRDefault="00C000DB" w:rsidP="000542B9">
      <w:pPr>
        <w:spacing w:after="264"/>
        <w:ind w:left="1080" w:hanging="360"/>
        <w:rPr>
          <w:rFonts w:cs="Times New Roman"/>
          <w:bCs/>
          <w:szCs w:val="24"/>
        </w:rPr>
      </w:pPr>
      <w:r>
        <w:rPr>
          <w:rFonts w:cs="Times New Roman"/>
          <w:bCs/>
          <w:szCs w:val="24"/>
        </w:rPr>
        <w:t xml:space="preserve">—  </w:t>
      </w:r>
      <w:r w:rsidRPr="00C000DB">
        <w:rPr>
          <w:rFonts w:cs="Times New Roman"/>
          <w:bCs/>
          <w:szCs w:val="24"/>
        </w:rPr>
        <w:t xml:space="preserve">An HOA may recover its fees and costs if the court determines that </w:t>
      </w:r>
      <w:r>
        <w:rPr>
          <w:rFonts w:cs="Times New Roman"/>
          <w:bCs/>
          <w:szCs w:val="24"/>
        </w:rPr>
        <w:t>the</w:t>
      </w:r>
      <w:r w:rsidRPr="00C000DB">
        <w:rPr>
          <w:rFonts w:cs="Times New Roman"/>
          <w:bCs/>
          <w:szCs w:val="24"/>
        </w:rPr>
        <w:t xml:space="preserve"> claim was frivolous, unreasonable, or without foundation. (Civ. Code, § 5235(c).)</w:t>
      </w:r>
    </w:p>
    <w:p w14:paraId="273D0ADA" w14:textId="77777777" w:rsidR="003F0E15" w:rsidRDefault="000542B9" w:rsidP="000542B9">
      <w:pPr>
        <w:spacing w:after="264"/>
        <w:rPr>
          <w:rFonts w:cs="Times New Roman"/>
          <w:bCs/>
          <w:szCs w:val="24"/>
        </w:rPr>
      </w:pPr>
      <w:r>
        <w:rPr>
          <w:rFonts w:cs="Times New Roman"/>
          <w:bCs/>
          <w:szCs w:val="24"/>
          <w:u w:val="single"/>
        </w:rPr>
        <w:t>Applicable Statute of Limitations</w:t>
      </w:r>
      <w:r>
        <w:rPr>
          <w:rFonts w:cs="Times New Roman"/>
          <w:bCs/>
          <w:szCs w:val="24"/>
        </w:rPr>
        <w:t>—</w:t>
      </w:r>
    </w:p>
    <w:p w14:paraId="0F45D13C" w14:textId="77777777" w:rsidR="003F0E15" w:rsidRDefault="000542B9" w:rsidP="000542B9">
      <w:pPr>
        <w:spacing w:after="264"/>
        <w:ind w:left="1080" w:hanging="360"/>
        <w:rPr>
          <w:rFonts w:cs="Times New Roman"/>
          <w:bCs/>
          <w:szCs w:val="24"/>
        </w:rPr>
      </w:pPr>
      <w:r>
        <w:rPr>
          <w:rFonts w:cs="Times New Roman"/>
          <w:bCs/>
          <w:szCs w:val="24"/>
        </w:rPr>
        <w:lastRenderedPageBreak/>
        <w:t xml:space="preserve">—  </w:t>
      </w:r>
      <w:r w:rsidR="00C000DB" w:rsidRPr="00C000DB">
        <w:rPr>
          <w:rFonts w:cs="Times New Roman"/>
          <w:bCs/>
          <w:szCs w:val="24"/>
        </w:rPr>
        <w:t>A claim for failing to allow the records to be inspected must be brought within three years. (Code Civ. Proc., § 338(a).)</w:t>
      </w:r>
    </w:p>
    <w:p w14:paraId="2062CBDD" w14:textId="77777777" w:rsidR="003F0E15" w:rsidRDefault="000542B9" w:rsidP="000542B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1F69DF48"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w:t>
      </w:r>
      <w:r w:rsidRPr="004F4E23">
        <w:rPr>
          <w:rFonts w:cs="Times New Roman"/>
          <w:bCs/>
          <w:szCs w:val="24"/>
          <w:highlight w:val="green"/>
        </w:rPr>
        <w:t xml:space="preserve">for </w:t>
      </w:r>
      <w:r w:rsidR="004F4E23">
        <w:rPr>
          <w:rFonts w:cs="Times New Roman"/>
          <w:bCs/>
          <w:i/>
          <w:iCs/>
          <w:szCs w:val="24"/>
          <w:highlight w:val="green"/>
        </w:rPr>
        <w:t>f</w:t>
      </w:r>
      <w:r w:rsidR="004F4E23" w:rsidRPr="004F4E23">
        <w:rPr>
          <w:rFonts w:cs="Times New Roman"/>
          <w:bCs/>
          <w:i/>
          <w:iCs/>
          <w:szCs w:val="24"/>
          <w:highlight w:val="green"/>
        </w:rPr>
        <w:t xml:space="preserve">ailure to </w:t>
      </w:r>
      <w:r w:rsidR="004F4E23">
        <w:rPr>
          <w:rFonts w:cs="Times New Roman"/>
          <w:bCs/>
          <w:i/>
          <w:iCs/>
          <w:szCs w:val="24"/>
          <w:highlight w:val="green"/>
        </w:rPr>
        <w:t>p</w:t>
      </w:r>
      <w:r w:rsidR="004F4E23" w:rsidRPr="004F4E23">
        <w:rPr>
          <w:rFonts w:cs="Times New Roman"/>
          <w:bCs/>
          <w:i/>
          <w:iCs/>
          <w:szCs w:val="24"/>
          <w:highlight w:val="green"/>
        </w:rPr>
        <w:t xml:space="preserve">ermit </w:t>
      </w:r>
      <w:r w:rsidR="004F4E23">
        <w:rPr>
          <w:rFonts w:cs="Times New Roman"/>
          <w:bCs/>
          <w:i/>
          <w:iCs/>
          <w:szCs w:val="24"/>
          <w:highlight w:val="green"/>
        </w:rPr>
        <w:t>i</w:t>
      </w:r>
      <w:r w:rsidR="004F4E23" w:rsidRPr="004F4E23">
        <w:rPr>
          <w:rFonts w:cs="Times New Roman"/>
          <w:bCs/>
          <w:i/>
          <w:iCs/>
          <w:szCs w:val="24"/>
          <w:highlight w:val="green"/>
        </w:rPr>
        <w:t xml:space="preserve">nspection of </w:t>
      </w:r>
      <w:r w:rsidR="004F4E23">
        <w:rPr>
          <w:rFonts w:cs="Times New Roman"/>
          <w:bCs/>
          <w:i/>
          <w:iCs/>
          <w:szCs w:val="24"/>
          <w:highlight w:val="green"/>
        </w:rPr>
        <w:t>r</w:t>
      </w:r>
      <w:r w:rsidR="004F4E23" w:rsidRPr="004F4E23">
        <w:rPr>
          <w:rFonts w:cs="Times New Roman"/>
          <w:bCs/>
          <w:i/>
          <w:iCs/>
          <w:szCs w:val="24"/>
          <w:highlight w:val="green"/>
        </w:rPr>
        <w:t>ecords</w:t>
      </w:r>
      <w:r w:rsidRPr="004F4E23">
        <w:rPr>
          <w:rFonts w:cs="Times New Roman"/>
          <w:bCs/>
          <w:szCs w:val="24"/>
          <w:highlight w:val="green"/>
        </w:rPr>
        <w:t>. If one o</w:t>
      </w:r>
      <w:r>
        <w:rPr>
          <w:rFonts w:cs="Times New Roman"/>
          <w:bCs/>
          <w:szCs w:val="24"/>
          <w:highlight w:val="green"/>
        </w:rPr>
        <w:t>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 (e.g., nuisance)</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2887E447" w14:textId="77777777" w:rsidR="003F0E15" w:rsidRDefault="000542B9" w:rsidP="000542B9">
      <w:pPr>
        <w:spacing w:after="264"/>
        <w:ind w:left="1080" w:hanging="360"/>
        <w:rPr>
          <w:rFonts w:cs="Times New Roman"/>
          <w:bCs/>
          <w:szCs w:val="24"/>
          <w:highlight w:val="green"/>
        </w:rPr>
      </w:pPr>
      <w:r w:rsidRPr="002D206C">
        <w:rPr>
          <w:rFonts w:cs="Times New Roman"/>
          <w:bCs/>
          <w:szCs w:val="24"/>
          <w:highlight w:val="green"/>
        </w:rPr>
        <w:t>—  ***</w:t>
      </w:r>
    </w:p>
    <w:p w14:paraId="2EE5E0AF" w14:textId="77777777" w:rsidR="003F0E15" w:rsidRDefault="000542B9" w:rsidP="000542B9">
      <w:pPr>
        <w:spacing w:after="264"/>
        <w:ind w:left="720"/>
        <w:rPr>
          <w:rFonts w:cs="Times New Roman"/>
          <w:bCs/>
          <w:szCs w:val="24"/>
        </w:rPr>
      </w:pPr>
      <w:r w:rsidRPr="002D206C">
        <w:rPr>
          <w:rFonts w:cs="Times New Roman"/>
          <w:bCs/>
          <w:szCs w:val="24"/>
          <w:highlight w:val="green"/>
        </w:rPr>
        <w:t>—  ***</w:t>
      </w:r>
    </w:p>
    <w:p w14:paraId="6B62A791" w14:textId="77777777" w:rsidR="003F0E15" w:rsidRDefault="000542B9" w:rsidP="000542B9">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5BEC08B6"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5384F495"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2D42C1A0" w14:textId="56EB2880" w:rsidR="003F0E15" w:rsidRDefault="008B55CB" w:rsidP="00124867">
      <w:pPr>
        <w:spacing w:after="264"/>
        <w:rPr>
          <w:rFonts w:cs="Times New Roman"/>
          <w:bCs/>
          <w:szCs w:val="24"/>
        </w:rPr>
      </w:pPr>
      <w:r>
        <w:rPr>
          <w:rFonts w:cs="Times New Roman"/>
          <w:bCs/>
          <w:szCs w:val="24"/>
        </w:rPr>
        <w:lastRenderedPageBreak/>
        <w:t>If this dispute is adjudicated, the prevailing party will be entitled to attorneys’ fees and costs under the Davis-Stirling Act. I</w:t>
      </w:r>
      <w:r w:rsidR="00C87DA9" w:rsidRPr="00CB094B">
        <w:rPr>
          <w:rFonts w:cs="Times New Roman"/>
          <w:bCs/>
          <w:szCs w:val="24"/>
        </w:rPr>
        <w:t>n addition, the prevailing part</w:t>
      </w:r>
      <w:r w:rsidR="00714E08">
        <w:rPr>
          <w:rFonts w:cs="Times New Roman"/>
          <w:bCs/>
          <w:szCs w:val="24"/>
        </w:rPr>
        <w:t>y</w:t>
      </w:r>
      <w:r w:rsidR="00C87DA9" w:rsidRPr="00CB094B">
        <w:rPr>
          <w:rFonts w:cs="Times New Roman"/>
          <w:bCs/>
          <w:szCs w:val="24"/>
        </w:rPr>
        <w:t xml:space="preserve"> in any such litigation will also be entitled to their attorneys’ fees and costs under </w:t>
      </w:r>
      <w:r>
        <w:rPr>
          <w:rFonts w:cs="Times New Roman"/>
          <w:bCs/>
          <w:szCs w:val="24"/>
        </w:rPr>
        <w:t>Article XVIII, Section 18</w:t>
      </w:r>
      <w:r w:rsidR="00C87DA9" w:rsidRPr="00CB094B">
        <w:rPr>
          <w:rFonts w:cs="Times New Roman"/>
          <w:bCs/>
          <w:szCs w:val="24"/>
        </w:rPr>
        <w:t xml:space="preserve"> of the CC&amp;Rs.</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794E4D99" w14:textId="534D2691" w:rsidR="00CB4537" w:rsidRDefault="00A31C97" w:rsidP="00CB4537">
      <w:pPr>
        <w:spacing w:after="264"/>
        <w:rPr>
          <w:rFonts w:cs="Times New Roman"/>
          <w:bCs/>
          <w:szCs w:val="24"/>
        </w:rPr>
      </w:pPr>
      <w:r w:rsidRPr="00A31C97">
        <w:rPr>
          <w:rFonts w:cs="Times New Roman"/>
          <w:bCs/>
          <w:szCs w:val="24"/>
        </w:rPr>
        <w:t>Based upon the information/evidence that Client has provided thus far, Client has standing to pursue every cause of action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Frankel v. Rondell Condos</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