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Smith v. Palm Tree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WB</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Maecenas semper orci suscipit purus ornare, at hendrerit neque ultricies. Fusce dictum ac erat sed aliquam. Aliquam ante nisl, bibendum eget mattis eu, congue eu magna. Suspendisse lacinia sapien vitae nisi elementum consequat. Donec quam metus, euismod in urna vel, fringilla rhoncus est. Quisque accumsan diam eget nisl commodo, ac cursus arcu mollis. In sed porta tortor, eu mollis dolor. Sed eget placerat purus. Maecenas id imperdiet diam, sit amet eleifend tellus. Suspendisse potenti. Class aptent taciti sociosqu ad litora torquent per conubia nostra, per inceptos himenaeos.
          <w:br/>
          <w:br/>
          Pellentesque eleifend mauris eleifend leo suscipit, a dignissim magna porta. Praesent diam est, tincidunt sit amet elementum eget, tincidunt quis elit. Etiam vitae elit vel sapien faucibus vehicula vel vitae mauris. Donec nec risus et nunc tempus efficitur eget ultrices est. Pellentesque pharetra justo porta orci scelerisque, eu placerat felis faucibus. Donec quis facilisis sem, at pharetra ante. Mauris dignissim velit nec pharetra hendrerit. Sed egestas mattis neque, in vestibulum ante placerat nec. Maecenas non tellus aliquet, tristique sapien maximus, luctus turpis. Etiam non turpis ut libero facilisis vestibulum ut sit amet risus. In ut augue vitae nulla condimentum posuere eget eget massa. Praesent condimentum lectus nec porttitor congue. Sed eget mattis lectus.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Robert Smith</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Palm Tree Homeowners Association, Inc.</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Quisque non magna in lacus egestas imperdiet. Etiam dolor augue, ultrices nec orci sit amet, rutrum accumsan justo. Aliquam eu ligula vel orci mollis ornare.</w:t>
      </w:r>
      <w:r w:rsidR="0009017B">
        <w:rPr>
          <w:rFonts w:cs="Times New Roman"/>
          <w:szCs w:val="24"/>
        </w:rPr>
        <w:t xml:space="preserve"> </w:t>
      </w:r>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r>
        <w:rPr>
          <w:rFonts w:cs="Times New Roman"/>
          <w:szCs w:val="24"/>
        </w:rPr>
        <w:t>How many times has the HOA sent written demands to Client.</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IX, Section 3</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XV, Section 6</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Smith v. Palm Tree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