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Mena v Foothills Towne Homes</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TP</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Breach of the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
          Client (defined below) owns the real property located at 1747 Bradbury Drive, Montebello, CA 90640 (the 
          <w:br/>
          “Property”), which is situated within The Foothills Towne Homes Association, a community of 83 
          <w:br/>
          condominiums. Client retained the Firm to enforce her property rights against the HOA’s ongoing failure to 
          <w:br/>
          repair the Property after it suffered damage from a fire. The HOA accepted responsibility for the post-fire 
          <w:br/>
          repairs. Although the HOA retained the contractor in mid-2022, the repairs have been stagnant for a significant 
          <w:br/>
          period of time rendering the Property uninhabitable. Client intended to rent the Property following the repairs. 
          <w:br/>
          She seeks to pursue the HOA for lost rental income due its negligent repair of the Property and any other 
          <w:br/>
          remedies she is entitled to as a matter of law.
        </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08557E" w:rsidP="00246DB4">
            <w:pPr>
              <w:spacing w:afterLines="0" w:after="0"/>
              <w:rPr>
                <w:rFonts w:ascii="Times New Roman" w:hAnsi="Times New Roman" w:cs="Times New Roman"/>
                <w:sz w:val="20"/>
                <w:szCs w:val="20"/>
              </w:rPr>
            </w:pPr>
            <w:r>
              <w:rPr>
                <w:rFonts w:cs="Times New Roman"/>
                <w:sz w:val="20"/>
                <w:szCs w:val="20"/>
              </w:rPr>
              <w:t>Perla Mena</w:t>
            </w:r>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The Foothills Towne Homes Association (the “HOA”)</w:t>
            </w:r>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Defendant</w:t>
            </w:r>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Winnie Poon (HOA property manager)</w:t>
            </w:r>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Former HOA Property Management Company</w:t>
            </w:r>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Baldwin Builders (“Baldwin”)</w:t>
            </w:r>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HOA Contractor</w:t>
            </w:r>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
      </w:r>
      <w:r w:rsidRPr="00020852">
        <w:rPr>
          <w:rFonts w:cs="Times New Roman"/>
          <w:szCs w:val="24"/>
        </w:rPr>
        <w:t xml:space="preserve"> </w:t>
      </w:r>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130368697"/>
      <w:r w:rsidRPr="00020852">
        <w:fldChar w:fldCharType="end"/>
      </w:r>
      <w:r w:rsidR="00317286">
        <w:br/>
      </w:r>
      <w:r w:rsidR="00C75C1D" w:rsidRPr="00020852">
        <w:t>CIVIL CODE § 5200 DOCUMENT DEMAND</w:t>
      </w:r>
      <w:bookmarkEnd w:id="10"/>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52C8A33F" w14:textId="3E9BEF90" w:rsidR="00370492" w:rsidRDefault="00370492" w:rsidP="001257C8">
      <w:pPr>
        <w:pStyle w:val="Line"/>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130368706"/>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r w:rsidRPr="00020852">
        <w:rPr>
          <w:rFonts w:cs="Times New Roman"/>
          <w:bCs/>
          <w:i/>
          <w:iCs/>
          <w:szCs w:val="24"/>
        </w:rPr>
        <w:t>Erlich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r w:rsidRPr="00020852">
        <w:rPr>
          <w:rFonts w:cs="Times New Roman"/>
          <w:bCs/>
          <w:i/>
          <w:iCs/>
          <w:szCs w:val="24"/>
        </w:rPr>
        <w:t xml:space="preserve">Erlich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r w:rsidRPr="00020852">
        <w:rPr>
          <w:rFonts w:cs="Times New Roman"/>
          <w:bCs/>
          <w:i/>
          <w:iCs/>
          <w:szCs w:val="24"/>
        </w:rPr>
        <w:t xml:space="preserve">Plotnik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r w:rsidRPr="00020852">
        <w:rPr>
          <w:rFonts w:cs="Times New Roman"/>
          <w:bCs/>
          <w:i/>
          <w:iCs/>
          <w:szCs w:val="24"/>
        </w:rPr>
        <w:t>Kassir v. Zahabi</w:t>
      </w:r>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bookmarkStart w:id="32" w:name="_Hlk41032600"/>
    <w:bookmarkStart w:id="33" w:name="_Hlk130368841"/>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r>
        <w:rPr>
          <w:rFonts w:cs="Times New Roman"/>
          <w:bCs/>
          <w:szCs w:val="24"/>
        </w:rPr>
        <w:t>Article XIII, Section 6</w:t>
      </w:r>
      <w:r w:rsidRPr="007E2199">
        <w:rPr>
          <w:rFonts w:cs="Times New Roman"/>
          <w:bCs/>
          <w:szCs w:val="24"/>
        </w:rPr>
        <w:t xml:space="preserve"> of the CC&amp;Rs specifically states that a violation of the CC&amp;Rs gives rise to a separate nuisance claim.</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72" w:name="_Toc130368730"/>
      <w:r w:rsidRPr="00020852">
        <w:fldChar w:fldCharType="end"/>
      </w:r>
      <w:r w:rsidR="000B75CA">
        <w:br/>
      </w:r>
      <w:r w:rsidRPr="00020852">
        <w:t>Failure to Permit Inspection of Records</w:t>
      </w:r>
      <w:bookmarkEnd w:id="72"/>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73" w:name="_Hlk57621136"/>
      <w:r w:rsidRPr="00020852">
        <w:rPr>
          <w:rFonts w:cs="Times New Roman"/>
          <w:bCs/>
          <w:szCs w:val="24"/>
        </w:rPr>
        <w:t>A claim for failing to allow the records to be inspected must be brought within three years. (Code Civ. Proc., § 338(a).)</w:t>
      </w:r>
      <w:bookmarkEnd w:id="73"/>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lastRenderedPageBreak/>
        <w:fldChar w:fldCharType="begin"/>
      </w:r>
      <w:r w:rsidRPr="00020852">
        <w:instrText xml:space="preserve"> LISTNUM LegalDefault \l 2 </w:instrText>
      </w:r>
      <w:bookmarkStart w:id="140" w:name="_Toc130368759"/>
      <w:r w:rsidRPr="00020852">
        <w:fldChar w:fldCharType="end"/>
      </w:r>
      <w:r w:rsidR="000B75CA">
        <w:br/>
      </w:r>
      <w:r>
        <w:t>Breach of the Implied Covenant of Good Faith and Fair Dealing</w:t>
      </w:r>
      <w:bookmarkEnd w:id="14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Breach of the Implied Covenant of Good Faith and Fair Dealing</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breach of the implied covenant of good faith and fair dealing</w:t>
      </w:r>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March 20, 2026 or May 6, 2027</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Los Angeles</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Los Angeles</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F2650E">
        <w:rPr>
          <w:rFonts w:cs="Times New Roman"/>
        </w:rPr>
        <w:t>Client complied with the statute and will be in a position to file the requisite Certificate of Compliance.</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Article XII</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
          There is a potential argument that Client may face statute of limitations issues with regard to a negligence claim 
          <w:br/>
          because three years from the date of the fire already elapsed. With that said, because the remediation of the fire 
          <w:br/>
          is the crux of the issue (not the cause of the fire), Client may be able to seek equitable tolling or estoppel to 
          <w:br/>
          delay the start of the statute of limitations.
        </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Mena v Foothills Towne Homes</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