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E4BDC" w:rsidP="00FD77B5">
      <w:pPr>
        <w:spacing w:afterLines="0" w:after="0"/>
        <w:jc w:val="center"/>
        <w:rPr>
          <w:rFonts w:cs="Times New Roman"/>
          <w:color w:val="000099"/>
          <w:sz w:val="52"/>
          <w:szCs w:val="52"/>
        </w:rPr>
      </w:pPr>
      <w:r>
        <w:rPr>
          <w:rFonts w:cs="Times New Roman"/>
          <w:color w:val="000099"/>
          <w:sz w:val="52"/>
          <w:szCs w:val="52"/>
        </w:rPr>
        <w:t>Harounian  v. Baker Ranch Community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E4BDC" w:rsidP="00D66223">
      <w:pPr>
        <w:spacing w:afterLines="0" w:after="0"/>
        <w:jc w:val="center"/>
        <w:rPr>
          <w:rFonts w:cs="Times New Roman"/>
          <w:bCs/>
          <w:color w:val="000099"/>
          <w:sz w:val="28"/>
          <w:szCs w:val="28"/>
        </w:rPr>
      </w:pPr>
      <w:r>
        <w:rPr>
          <w:rFonts w:cs="Times New Roman"/>
          <w:bCs/>
          <w:color w:val="000099"/>
          <w:sz w:val="28"/>
          <w:szCs w:val="28"/>
        </w:rPr>
        <w:t>TO</w:t>
      </w:r>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E4BD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E4BD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E4BD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CE4BD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E4BD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E4BD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E4BD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E4BD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E4BD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E4BD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E4BD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E4BD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E4BD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E4BD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E4BD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E4BD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E4BD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E4BD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E4BD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E4BD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E4BD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E4BD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E4BD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E4BD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E4BD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E4BD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E4BD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E4BD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E4BD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E4BD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E4BD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E4BD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E4BD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E4BD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E4BD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E4BD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E4BD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E4BD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E4BD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E4BD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E4BD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E4BD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E4BD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E4BD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E4BD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E4BD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E4BD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E4BD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E4BD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E4BD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E4BD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E4BD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E4BD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E4BD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E4BD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E4BD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E4BD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E4BD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E4BD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E4BD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E4BD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E4BD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E4BD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E4BD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E4BD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E4BD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E4BD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E4BD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E4BD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E4BD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E4BD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E4BD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E4BD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E4BD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E4BD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E4BD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E4BD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E4BD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E4BD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E4BD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E4BD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E4BD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E4BD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E4BD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E4BD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E4BD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E4BD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E4BD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E4BD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E4BD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E4BD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E4BD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E4BD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E4BD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E4BD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E4BD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E4BD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E4BD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E4BD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E4BD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E4BD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E4BD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E4BD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E4BD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E4BD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E4BD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E4BD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E4BD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E4BD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E4BD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E4BD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E4BD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E4BD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E4BD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E4BD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4</w:t>
            </w:r>
            <w:r w:rsidR="0033195E">
              <w:rPr>
                <w:noProof/>
                <w:webHidden/>
              </w:rPr>
              <w:fldChar w:fldCharType="end"/>
            </w:r>
          </w:hyperlink>
        </w:p>
        <w:p w14:paraId="1518F26F" w14:textId="2E8992AF" w:rsidR="0033195E" w:rsidRDefault="00CE4BD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E4BD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E4BD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E4BD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E4BDC" w:rsidP="00FB173A">
      <w:pPr>
        <w:pStyle w:val="NormalEnd"/>
      </w:pPr>
      <w:r>
        <w:t>Client’s backyard sits at the base of a graded slope. Each rainy season runoff from the slope floods Client’s backyard. The attempts by property developer, Shea, and the HOA to improve the drainage have been unsuccesful.</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E4BDC" w:rsidP="00246DB4">
            <w:pPr>
              <w:spacing w:afterLines="0" w:after="0"/>
              <w:rPr>
                <w:rFonts w:ascii="Times New Roman" w:hAnsi="Times New Roman" w:cs="Times New Roman"/>
                <w:sz w:val="20"/>
                <w:szCs w:val="20"/>
              </w:rPr>
            </w:pPr>
            <w:r>
              <w:rPr>
                <w:rFonts w:cs="Times New Roman"/>
                <w:sz w:val="20"/>
                <w:szCs w:val="20"/>
              </w:rPr>
              <w:t>Alek Harounian, Bianya Hartouni</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Baker Ranch Community Association</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Master Association HOA</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Rowe-Court Neighborhood Association</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Condominium Association HOA</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XIX, Section 4</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April 15, 2022</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5"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XVII, Section 5(d)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E4BDC" w:rsidP="00ED253D">
      <w:pPr>
        <w:spacing w:after="264"/>
      </w:pPr>
      <w:r>
        <w:t>Since the first flooding of Client’s backyard occurred in 2019, there is a statute of limitations issue. However, where the wrong complained of is continual or recurring, the cause of action accrues each time a wrongful act occurs, triggering a new limitations period (theory of continuous accrual).</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E4BDC"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Harounian  v. Baker Ranch Community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189</Pages>
  <Words>56028</Words>
  <Characters>319362</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430</cp:revision>
  <cp:lastPrinted>2019-02-13T22:26:00Z</cp:lastPrinted>
  <dcterms:created xsi:type="dcterms:W3CDTF">2020-06-05T18:10:00Z</dcterms:created>
  <dcterms:modified xsi:type="dcterms:W3CDTF">2023-04-05T20:18:00Z</dcterms:modified>
</cp:coreProperties>
</file>