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Smithson v. California Meadows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Lecia Smithson</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California Meadows Homeowners Association</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Riverside</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Riverside</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Smithson v. California Meadows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