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Altawaty and Shbeeb v Langstaff DDS,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08557E" w:rsidP="00FD77B5">
      <w:pPr>
        <w:spacing w:afterLines="0" w:after="0"/>
        <w:jc w:val="center"/>
        <w:rPr>
          <w:rFonts w:cs="Times New Roman"/>
          <w:sz w:val="28"/>
          <w:szCs w:val="28"/>
        </w:rPr>
      </w:pPr>
      <w:r>
        <w:rPr>
          <w:rFonts w:cs="Times New Roman"/>
          <w:color w:val="000099"/>
          <w:sz w:val="28"/>
          <w:szCs w:val="28"/>
        </w:rPr>
        <w:t>30-2024-01439562-CU-F-NJC</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TP</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Violation of Labor Code Section 226.8 (Intentional Misclassification); Failure to Pay Wages (Labor Code Sections 201-204); Failure to Provide Accurate Wage Statements (Labor Code Section 226); Failure to Provide Meal and Rest Periods (Labor Code Sections 226.7, 512); Failure to Reimburse Business Expenses (Labor Code Section 2802)</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
          Dr. Rashad Alta and Dr. Hadi Beeb are independent contractor associate dentists who provided clinical services at Lang Corp., a dental practice owned by Plaintiff Dr. William Lang. They have been named as defendants in a sweeping civil action brought by Dr. Lang and his professional corporation, which alleges that numerous former employees and contractors engaged in a conspiracy to defraud and financially harm the business and Dr. Lang personally.
          <w:br/>
          <w:br/>
          The Complaint asserts causes of action against Dr. Alta and Dr. Beeb for breach of fiduciary duty, conversion, constructive fraud, conspiracy, elder abuse, emotional distress, and unjust enrichment. Plaintiffs broadly claim that all “employee defendants” overbilled, accepted improper payments, and participated in a scheme orchestrated by the former office manager to embezzle funds and undermine the practice.
          <w:br/>
          <w:br/>
          From Dr. Alta and Dr. Beeb’s perspective, these claims are:
          <w:br/>
          <w:br/>
          Legally deficient, as the Complaint fails to allege specific facts connecting them to any wrongdoing;
          <w:br/>
          Procedurally improper, as it relies on vague group pleading and fails to differentiate between defendants;
          <w:br/>
          Factually unsupported, given their roles were limited to providing patient care as independent contractors, with no involvement in payroll, administrative, or financial operations.
          <w:br/>
          Both doctors have denied any involvement in the alleged misconduct. Through counsel, they have met and conferred with opposing counsel pursuant to Code of Civil Procedure § 430.41 and have informed Plaintiffs of their intent to file a demurrer under Code of Civil Procedure §§ 430.10(e) and (f), seeking dismissal of the claims for failure to state a cause of action and for uncertainty.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8557E" w:rsidP="00246DB4">
            <w:pPr>
              <w:spacing w:afterLines="0" w:after="0"/>
              <w:rPr>
                <w:rFonts w:ascii="Times New Roman" w:hAnsi="Times New Roman" w:cs="Times New Roman"/>
                <w:sz w:val="20"/>
                <w:szCs w:val="20"/>
              </w:rPr>
            </w:pPr>
            <w:r>
              <w:rPr>
                <w:rFonts w:cs="Times New Roman"/>
                <w:sz w:val="20"/>
                <w:szCs w:val="20"/>
              </w:rPr>
              <w:t>Rashad Altawaty and Hadi Shbeeb</w:t>
            </w:r>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Diane Swope ("D. Swope)</w:t>
            </w:r>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Defendant</w:t>
            </w:r>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Crystal Vazquez ("Vasquez")</w:t>
            </w:r>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Defendant</w:t>
            </w:r>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Stephanie Trefzger ("Trefzger")</w:t>
            </w:r>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Randy Swope ("R. Swope")</w:t>
            </w:r>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Randy Swope ("R. Swope")</w:t>
            </w:r>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Defendant</w:t>
            </w:r>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Yasamin Behbehani ("Behbehani")</w:t>
            </w:r>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Defendant</w:t>
            </w:r>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Will our potential Cross-Complaint argument re employment status defeat some of our argument regarding breach of duty of loyalty and breach of fiduciary duty?</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Pr="00EA2883">
        <w:t xml:space="preserve">POTENTIAL CROSS-CLAIMS </w:t>
      </w:r>
      <w:r w:rsidR="002155D0">
        <w:t>&amp;</w:t>
      </w:r>
      <w:r w:rsidR="002155D0" w:rsidRPr="00EA2883">
        <w:br/>
        <w:t>THE STRENGTHS/WEAKNESSES OF EACH</w:t>
      </w:r>
      <w:bookmarkEnd w:id="18"/>
    </w:p>
    <w:p w14:paraId="5E3A28CC" w14:textId="77777777" w:rsidR="00555084" w:rsidRPr="00D010AC" w:rsidRDefault="00555084" w:rsidP="00555084">
      <w:pPr>
        <w:pStyle w:val="Heading2"/>
        <w:rPr>
          <w:lang w:val="fr-FR"/>
        </w:rPr>
      </w:pPr>
      <w:r w:rsidRPr="00020852">
        <w:lastRenderedPageBreak/>
        <w:fldChar w:fldCharType="begin"/>
      </w:r>
      <w:r w:rsidRPr="00D010AC">
        <w:rPr>
          <w:lang w:val="fr-FR"/>
        </w:rPr>
        <w:instrText xml:space="preserve"> LISTNUM LegalDefault \l 2 </w:instrText>
      </w:r>
      <w:bookmarkStart w:id="95" w:name="_Toc53565513"/>
      <w:bookmarkStart w:id="96" w:name="_Toc130368742"/>
      <w:r w:rsidRPr="00020852">
        <w:fldChar w:fldCharType="end"/>
      </w:r>
      <w:r w:rsidRPr="00D010AC">
        <w:rPr>
          <w:lang w:val="fr-FR"/>
        </w:rPr>
        <w:br/>
      </w:r>
      <w:proofErr w:type="spellStart"/>
      <w:r w:rsidRPr="00D010AC">
        <w:rPr>
          <w:lang w:val="fr-FR"/>
        </w:rPr>
        <w:t>Unjust</w:t>
      </w:r>
      <w:proofErr w:type="spellEnd"/>
      <w:r w:rsidRPr="00D010AC">
        <w:rPr>
          <w:lang w:val="fr-FR"/>
        </w:rPr>
        <w:t xml:space="preserve"> </w:t>
      </w:r>
      <w:proofErr w:type="spellStart"/>
      <w:r w:rsidRPr="00D010AC">
        <w:rPr>
          <w:lang w:val="fr-FR"/>
        </w:rPr>
        <w:t>Enrichment</w:t>
      </w:r>
      <w:bookmarkEnd w:id="95"/>
      <w:bookmarkEnd w:id="96"/>
      <w:proofErr w:type="spellEnd"/>
    </w:p>
    <w:p w14:paraId="783BF9F1" w14:textId="77777777" w:rsidR="00555084" w:rsidRPr="00D010AC" w:rsidRDefault="00555084" w:rsidP="00555084">
      <w:pPr>
        <w:spacing w:after="264"/>
        <w:rPr>
          <w:lang w:val="fr-FR"/>
        </w:rPr>
      </w:pPr>
      <w:proofErr w:type="spellStart"/>
      <w:r w:rsidRPr="00D010AC">
        <w:rPr>
          <w:u w:val="single"/>
          <w:lang w:val="fr-FR"/>
        </w:rPr>
        <w:t>Elements</w:t>
      </w:r>
      <w:proofErr w:type="spellEnd"/>
      <w:r w:rsidRPr="00D010AC">
        <w:rPr>
          <w:lang w:val="fr-FR"/>
        </w:rPr>
        <w:t>—</w:t>
      </w:r>
      <w:proofErr w:type="spellStart"/>
      <w:r w:rsidRPr="00D010AC">
        <w:rPr>
          <w:lang w:val="fr-FR"/>
        </w:rPr>
        <w:t>Unjust</w:t>
      </w:r>
      <w:proofErr w:type="spellEnd"/>
      <w:r w:rsidRPr="00D010AC">
        <w:rPr>
          <w:lang w:val="fr-FR"/>
        </w:rPr>
        <w:t xml:space="preserve"> </w:t>
      </w:r>
      <w:proofErr w:type="spellStart"/>
      <w:r w:rsidRPr="00D010AC">
        <w:rPr>
          <w:lang w:val="fr-FR"/>
        </w:rPr>
        <w:t>Enrichment</w:t>
      </w:r>
      <w:proofErr w:type="spellEnd"/>
      <w:r w:rsidRPr="00D010AC">
        <w:rPr>
          <w:lang w:val="fr-FR"/>
        </w:rPr>
        <w:t xml:space="preserve"> (Quantum </w:t>
      </w:r>
      <w:proofErr w:type="spellStart"/>
      <w:r w:rsidRPr="00D010AC">
        <w:rPr>
          <w:lang w:val="fr-FR"/>
        </w:rPr>
        <w:t>Meruit</w:t>
      </w:r>
      <w:proofErr w:type="spellEnd"/>
      <w:r w:rsidRPr="00D010AC">
        <w:rPr>
          <w:lang w:val="fr-FR"/>
        </w:rPr>
        <w: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7" w:name="_Toc53565518"/>
      <w:bookmarkStart w:id="108"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7"/>
      <w:bookmarkEnd w:id="108"/>
    </w:p>
    <w:p w14:paraId="282BE646" w14:textId="77777777" w:rsidR="0079009E" w:rsidRDefault="0079009E" w:rsidP="0079009E">
      <w:pPr>
        <w:spacing w:after="264"/>
      </w:pPr>
      <w:bookmarkStart w:id="10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41" w:name="_Toc130368760"/>
      <w:r w:rsidRPr="004647C7">
        <w:fldChar w:fldCharType="end"/>
      </w:r>
      <w:r w:rsidR="000B75CA">
        <w:br/>
      </w:r>
      <w:r>
        <w:t>Violation of Labor Code Section 226.8 (Intentional Misclassification); Failure to Pay Wages (Labor Code Sections 201-204); Failure to Provide Accurate Wage Statements (Labor Code Section 226); Failure to Provide Meal and Rest Periods (Labor Code Sections 226.7, 512); Failure to Reimburse Business Expenses (Labor Code Section 2802)</w:t>
      </w:r>
      <w:bookmarkEnd w:id="141"/>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Labor Code Section 226.8 (Intentional Misclassification); Failure to Pay Wages (Labor Code Sections 201-204); Failure to Provide Accurate Wage Statements (Labor Code Section 226); Failure to Provide Meal and Rest Periods (Labor Code Sections 226.7, 512); Failure to Reimburse Business Expenses (Labor Code Section 2802)</w:t>
      </w:r>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labor code section 226.8 (intentional misclassification); failure to pay wages (labor code sections 201-204); failure to provide accurate wage statements (labor code section 226); failure to provide meal and rest periods (labor code sections 226.7, 512); failure to reimburse business expenses (labor code section 2802)</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3" w:name="_Toc130368762"/>
      <w:r w:rsidRPr="00D536E3">
        <w:fldChar w:fldCharType="end"/>
      </w:r>
      <w:r w:rsidR="000B75CA">
        <w:br/>
      </w:r>
      <w:r w:rsidR="00DD2768" w:rsidRPr="00A66858">
        <w:t>POTENTIAL AFFIRMATIVE DEFENSES</w:t>
      </w:r>
      <w:bookmarkEnd w:id="143"/>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4" w:name="_Toc130368763"/>
      <w:r w:rsidRPr="00274E8F">
        <w:fldChar w:fldCharType="end"/>
      </w:r>
      <w:r w:rsidR="000B75CA">
        <w:br/>
      </w:r>
      <w:r>
        <w:t>BJR (Lamden)</w:t>
      </w:r>
      <w:bookmarkEnd w:id="144"/>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6" w:name="_Toc130368764"/>
      <w:r w:rsidRPr="00274E8F">
        <w:fldChar w:fldCharType="end"/>
      </w:r>
      <w:r w:rsidR="009B5213">
        <w:br/>
      </w:r>
      <w:r>
        <w:t>Statute of Limitations</w:t>
      </w:r>
      <w:bookmarkEnd w:id="14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8" w:name="_Toc130368766"/>
      <w:r w:rsidRPr="00274E8F">
        <w:fldChar w:fldCharType="end"/>
      </w:r>
      <w:r w:rsidR="009B5213">
        <w:br/>
      </w:r>
      <w:r>
        <w:t>Unclean Hands</w:t>
      </w:r>
      <w:bookmarkEnd w:id="14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9" w:name="_Toc130368767"/>
      <w:r w:rsidRPr="00274E8F">
        <w:fldChar w:fldCharType="end"/>
      </w:r>
      <w:r w:rsidR="009B5213">
        <w:br/>
      </w:r>
      <w:r>
        <w:t>Laches</w:t>
      </w:r>
      <w:bookmarkEnd w:id="14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5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5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1" w:name="_Toc130368768"/>
      <w:r w:rsidRPr="00274E8F">
        <w:fldChar w:fldCharType="end"/>
      </w:r>
      <w:r w:rsidR="009B5213">
        <w:br/>
      </w:r>
      <w:r>
        <w:t>Negligence (Comparative Fault)</w:t>
      </w:r>
      <w:bookmarkEnd w:id="15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52" w:name="_Toc130368769"/>
      <w:r w:rsidRPr="00274E8F">
        <w:fldChar w:fldCharType="end"/>
      </w:r>
      <w:r w:rsidR="009B5213">
        <w:br/>
      </w:r>
      <w:r>
        <w:t>Apportionment</w:t>
      </w:r>
      <w:bookmarkEnd w:id="15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2" w:name="_Toc130368788"/>
      <w:r w:rsidRPr="00274E8F">
        <w:fldChar w:fldCharType="end"/>
      </w:r>
      <w:r w:rsidR="009B5213">
        <w:br/>
      </w:r>
      <w:r>
        <w:t>Waiver</w:t>
      </w:r>
      <w:bookmarkEnd w:id="17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3" w:name="_Toc130368789"/>
      <w:r w:rsidRPr="00274E8F">
        <w:fldChar w:fldCharType="end"/>
      </w:r>
      <w:r w:rsidR="002970B7">
        <w:br/>
      </w:r>
      <w:r>
        <w:t>Failure to Mitigate</w:t>
      </w:r>
      <w:bookmarkEnd w:id="17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5" w:name="_Toc130368791"/>
      <w:r w:rsidRPr="00274E8F">
        <w:fldChar w:fldCharType="end"/>
      </w:r>
      <w:r w:rsidR="002970B7">
        <w:br/>
      </w:r>
      <w:r>
        <w:t>Failure to State a Claim</w:t>
      </w:r>
      <w:bookmarkEnd w:id="17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7" w:name="_Toc130368793"/>
      <w:r w:rsidRPr="00274E8F">
        <w:fldChar w:fldCharType="end"/>
      </w:r>
      <w:r w:rsidR="002970B7">
        <w:br/>
      </w:r>
      <w:r>
        <w:t>Justification</w:t>
      </w:r>
      <w:bookmarkEnd w:id="17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2" w:name="_Toc130368796"/>
      <w:r w:rsidRPr="00274E8F">
        <w:fldChar w:fldCharType="end"/>
      </w:r>
      <w:r w:rsidR="002970B7">
        <w:br/>
      </w:r>
      <w:r>
        <w:t>Consent</w:t>
      </w:r>
      <w:bookmarkEnd w:id="18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r>
        <w:rPr>
          <w:rFonts w:cs="Times New Roman"/>
          <w:b/>
          <w:bCs/>
          <w:color w:val="C00000"/>
          <w:szCs w:val="24"/>
          <w:u w:val="single"/>
        </w:rPr>
        <w:t>October 16, 2026*</w:t>
      </w:r>
      <w:r>
        <w:t>.</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r>
        <w:rPr>
          <w:rFonts w:cs="Times New Roman"/>
          <w:bCs/>
          <w:szCs w:val="24"/>
        </w:rPr>
        <w:t>Orange</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031055CF" w14:textId="5CA252A1" w:rsidR="00977CF1" w:rsidRDefault="0008557E" w:rsidP="00977CF1">
      <w:pPr>
        <w:spacing w:after="264"/>
      </w:pPr>
      <w:r>
        <w:rPr>
          <w:rFonts w:cs="Times New Roman"/>
          <w:szCs w:val="24"/>
        </w:rPr>
        <w:t>Orange</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bookmarkStart w:id="219"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Statutory Fee Entitlement - Elder Abuse (Welfare &amp; Institutions Code Section 15657.5)</w:t>
      </w:r>
      <w:r w:rsidR="003C4D76" w:rsidRPr="00D87E71">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We need to make sure we haven’t already run out the statute of limitations on the intentional misclassification claim for both Dr. Altawaty and Dr. Shbeeb.</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Altawaty and Shbeeb v Langstaff DDS,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