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Gulaya v. Costa and Deerfield Community Association</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owns the real property located at 7 Goldbluff, Irvine, CA 92604 (the "Property"), which is situated within the Deerfield Community Association, a master planned community with nearly 1,000 homes. 
          <w:br/>
          <w:br/>
          The Property is among homes that are zero-lot line. This created a problem between Client and the next-door neighbor, the owner of 9 Goldbluff, Dan and Elizabeth Costa.
          <w:br/>
          <w:br/>
          The Costas landscaping improvements (palm trees and other plants) caused the soil on the border of the two lots to rise over time and eventually covered the weep screed. Consequently, water and moisture from the soil permeated through the stucco and to the interior of the Property.  As a result, the water damaged 
          <w:br/>
          one bedroom, bathroom, walk-in closet, and possibly the master bathroom at the Property.
          <w:br/>
          <w:br/>
          Client reported the water damage to the Costas and to the HOA. The HOA took the position that the dispute was "neighbor-to-neighbor" and didn’t involve them. On several occasions, Client communicated with the Costas to urge them to take corrective measures regarding the weep screed and the landscaping improvements, but they failed. Even the de minimis work the Costas performed was done in a sloppy and haphazard manner and has not ensured the integrity of the Property. On the other hand, Client has had been advised by qualified professionals that the landscaping improvements planted by 9 Goldbluff interfered with the weep screed and allowed water and moisture to enter the Property and cause extensive damage.
          <w:br/>
          <w:br/>
          Client seeks to purse the Costas for their breaches as well as the HOA for its breaches in not enforcing the governing documents against the Costas.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D41496" w:rsidP="00EF2457">
            <w:pPr>
              <w:spacing w:afterLines="0" w:after="0"/>
              <w:rPr>
                <w:rFonts w:cs="Times New Roman"/>
                <w:sz w:val="20"/>
                <w:szCs w:val="20"/>
              </w:rPr>
            </w:pPr>
            <w:r>
              <w:rPr>
                <w:rFonts w:cs="Times New Roman"/>
                <w:sz w:val="20"/>
                <w:szCs w:val="20"/>
              </w:rPr>
              <w:t>Suresh Gulaya</w:t>
            </w:r>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D41496" w:rsidP="00EF2457">
            <w:pPr>
              <w:spacing w:afterLines="0" w:after="0"/>
              <w:rPr>
                <w:rFonts w:cs="Times New Roman"/>
                <w:sz w:val="20"/>
                <w:szCs w:val="20"/>
              </w:rPr>
            </w:pPr>
            <w:r>
              <w:rPr>
                <w:rFonts w:cs="Times New Roman"/>
                <w:sz w:val="20"/>
                <w:szCs w:val="20"/>
              </w:rPr>
              <w:t>Deerfield Community Association (the "HOA")</w:t>
            </w:r>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D41496" w:rsidP="00EF2457">
            <w:pPr>
              <w:spacing w:afterLines="0" w:after="0"/>
              <w:rPr>
                <w:rFonts w:cs="Times New Roman"/>
                <w:sz w:val="20"/>
                <w:szCs w:val="20"/>
              </w:rPr>
            </w:pPr>
            <w:r>
              <w:rPr>
                <w:rFonts w:cs="Times New Roman"/>
                <w:sz w:val="20"/>
                <w:szCs w:val="20"/>
              </w:rPr>
              <w:t>HOA</w:t>
            </w:r>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D41496" w:rsidP="00EF2457">
            <w:pPr>
              <w:spacing w:afterLines="0" w:after="0"/>
              <w:rPr>
                <w:rFonts w:cs="Times New Roman"/>
                <w:sz w:val="20"/>
                <w:szCs w:val="20"/>
              </w:rPr>
            </w:pPr>
            <w:r>
              <w:rPr>
                <w:rFonts w:cs="Times New Roman"/>
                <w:sz w:val="20"/>
                <w:szCs w:val="20"/>
              </w:rPr>
              <w:t>Daniel and Elizabeth Costa</w:t>
            </w:r>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D41496" w:rsidP="00EF2457">
            <w:pPr>
              <w:spacing w:afterLines="0" w:after="0"/>
              <w:rPr>
                <w:rFonts w:cs="Times New Roman"/>
                <w:sz w:val="20"/>
                <w:szCs w:val="20"/>
              </w:rPr>
            </w:pPr>
            <w:r>
              <w:rPr>
                <w:rFonts w:cs="Times New Roman"/>
                <w:sz w:val="20"/>
                <w:szCs w:val="20"/>
              </w:rPr>
              <w:t>Neighbor</w:t>
            </w:r>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Prun</w:t>
      </w:r>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r w:rsidR="00440583" w:rsidRPr="00440583">
        <w:rPr>
          <w:rFonts w:cs="Times New Roman"/>
          <w:bCs/>
          <w:i/>
          <w:iCs/>
          <w:szCs w:val="24"/>
        </w:rPr>
        <w:t>Mangini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r>
        <w:rPr>
          <w:rFonts w:cs="Times New Roman"/>
          <w:bCs/>
          <w:szCs w:val="24"/>
        </w:rPr>
        <w:t>Article XVI, Section 8</w:t>
      </w:r>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r w:rsidRPr="0033652F">
        <w:rPr>
          <w:rFonts w:cs="Times New Roman"/>
          <w:bCs/>
          <w:i/>
          <w:iCs/>
          <w:szCs w:val="24"/>
        </w:rPr>
        <w:t>Varjabedian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r w:rsidR="00586698" w:rsidRPr="00586698">
        <w:rPr>
          <w:rFonts w:cs="Times New Roman"/>
          <w:bCs/>
          <w:i/>
          <w:iCs/>
          <w:szCs w:val="24"/>
        </w:rPr>
        <w:t>Gehr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r w:rsidRPr="006A3B04">
        <w:rPr>
          <w:rFonts w:cs="Times New Roman"/>
          <w:bCs/>
          <w:i/>
          <w:iCs/>
          <w:szCs w:val="24"/>
        </w:rPr>
        <w:t>Shamsian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50 Cal. 496, 497–498); however, an out-of-possession property owner may recover for an injury to the land by a trespasser which damages the ownership interest. (</w:t>
      </w:r>
      <w:r w:rsidR="003D74F3" w:rsidRPr="00423E78">
        <w:rPr>
          <w:rFonts w:cs="Times New Roman"/>
          <w:bCs/>
          <w:i/>
          <w:iCs/>
          <w:szCs w:val="24"/>
        </w:rPr>
        <w:t>Rogers v. Duhart</w:t>
      </w:r>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r w:rsidR="003D74F3" w:rsidRPr="00FD51C5">
        <w:rPr>
          <w:rFonts w:cs="Times New Roman"/>
          <w:bCs/>
          <w:i/>
          <w:iCs/>
          <w:szCs w:val="24"/>
        </w:rPr>
        <w:t>O’Banion v. Borba</w:t>
      </w:r>
      <w:r w:rsidR="003D74F3" w:rsidRPr="00FD51C5">
        <w:rPr>
          <w:rFonts w:cs="Times New Roman"/>
          <w:bCs/>
          <w:szCs w:val="24"/>
        </w:rPr>
        <w:t xml:space="preserve"> (1948) 32 Cal.2d 145; </w:t>
      </w:r>
      <w:r w:rsidR="003D74F3" w:rsidRPr="00FD51C5">
        <w:rPr>
          <w:rFonts w:cs="Times New Roman"/>
          <w:bCs/>
          <w:i/>
          <w:iCs/>
          <w:szCs w:val="24"/>
        </w:rPr>
        <w:t>Walner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7" w:name="_Hlk43278279"/>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w:t>
      </w:r>
      <w:r w:rsidR="00822118">
        <w:rPr>
          <w:rFonts w:cs="Times New Roman"/>
          <w:bCs/>
          <w:szCs w:val="24"/>
        </w:rPr>
        <w:lastRenderedPageBreak/>
        <w:t>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r w:rsidR="002E6761" w:rsidRPr="002E6761">
        <w:rPr>
          <w:rFonts w:cs="Times New Roman"/>
          <w:bCs/>
          <w:i/>
          <w:iCs/>
          <w:szCs w:val="24"/>
        </w:rPr>
        <w:t>Mangini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r w:rsidRPr="00192321">
        <w:rPr>
          <w:rFonts w:cs="Times New Roman"/>
          <w:bCs/>
          <w:i/>
          <w:iCs/>
          <w:szCs w:val="24"/>
        </w:rPr>
        <w:t>Hassholdt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Article XVI, Section 9</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Gulaya v. Costa and Deerfield Community Association</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