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Bonzon v. Saxonville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
          Client owns the real property located at 500 E. Saxon Avenue, Unit M, San Gabriel, CA 91776 (the "Property"), a condominium unit situated within the Saxonville Homeowners Association. 
          <w:br/>
          <w:br/>
          Client has owned the Property for over 35 years. At various times, including presently, Client served on the HOA’s board of directors. She contends that the HOA’s other two board members fail to include her in meetings, HOA-related discussions, and important HOA decisions. The other two board members have failed to enforce the HOA’s governing documents and the Davis-Stirling Act as it relates to conducting meetings, elections, maintenance, and displaying political signs.
          <w:br/>
          <w:br/>
          Due to the foregoing breaches, Client seeks to enforce her rights as an HOA member and enforce the governing documents and Davis-Stirling Act against the HOA.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Cris ("Crissie") Bonzon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Saxonville Homeowners Association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w:t>
      </w:r>
      <w:proofErr w:type="spellStart"/>
      <w:r>
        <w:rPr>
          <w:rFonts w:cs="Times New Roman"/>
          <w:bCs/>
          <w:szCs w:val="24"/>
        </w:rPr>
        <w:t>affect</w:t>
      </w:r>
      <w:proofErr w:type="spellEnd"/>
      <w:r>
        <w:rPr>
          <w:rFonts w:cs="Times New Roman"/>
          <w:bCs/>
          <w:szCs w:val="24"/>
        </w:rPr>
        <w:t xml:space="preserve">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V, Section 5.01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Bonzon v. Saxonville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