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Drewery v. San Diego County Estates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owns the real property located at 15536 Calistoga Drive, Ramona, CA 92065 (the "Property"), which is located in San Diego County. The HOA is a golf community and has a golf course. Client contends that the HOA has been using reserve funds and a significant portion of its operating funds to pay for the shortfall created by the golf club. According to Client, the HOA has maintained severely low monthly golf club dues despite other comparable communities having nearly double the amount of the HOA’s dues. 
          <w:br/>
          <w:br/>
          Coincidentally, the board members who have made the irrational decision to not increase the amount of the monthly golf dues are frequent golfers. In fact, they play golf at the club almost every single day. 
          <w:br/>
          <w:br/>
          Client seeks the implementation of a separate cost center for the operation of the golf course due to the above concerns. In addition, he would like to see the HOA increase the golf rates and maintain the common areas (e.g., serious concern for fire avoidance due to heavy brush areas).
          <w:br/>
          <w:br/>
          Client has viable claims for the following:
          <w:br/>
          <w:br/>
          (i) breach of the HOA’s governing documents;
          <w:br/>
          (ii) breach of the board’s fiduciary duties; and
          <w:br/>
          (iii) negligence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Richard Drewery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San Diego Country Estates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Drewery v. San Diego County Estates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