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6C1630" w:rsidP="00FD77B5">
      <w:pPr>
        <w:spacing w:afterLines="0" w:after="0"/>
        <w:jc w:val="center"/>
        <w:rPr>
          <w:rFonts w:cs="Times New Roman"/>
          <w:color w:val="000099"/>
          <w:sz w:val="52"/>
          <w:szCs w:val="52"/>
        </w:rPr>
      </w:pPr>
      <w:r>
        <w:rPr>
          <w:rFonts w:cs="Times New Roman"/>
          <w:color w:val="000099"/>
          <w:sz w:val="52"/>
          <w:szCs w:val="52"/>
        </w:rPr>
        <w:t>Nozzolino v. Edgewater Isle North HOA</w:t>
      </w:r>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6C1630" w:rsidP="00D66223">
      <w:pPr>
        <w:spacing w:afterLines="0" w:after="0"/>
        <w:jc w:val="center"/>
        <w:rPr>
          <w:rFonts w:cs="Times New Roman"/>
          <w:bCs/>
          <w:color w:val="000099"/>
          <w:sz w:val="28"/>
          <w:szCs w:val="28"/>
        </w:rPr>
      </w:pPr>
      <w:r>
        <w:rPr>
          <w:rFonts w:cs="Times New Roman"/>
          <w:bCs/>
          <w:color w:val="000099"/>
          <w:sz w:val="28"/>
          <w:szCs w:val="28"/>
        </w:rPr>
        <w:t>JG</w:t>
      </w:r>
    </w:p>
    <w:p w14:paraId="56F0E1E5" w14:textId="489F4252"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3F54B5">
        <w:rPr>
          <w:rFonts w:cs="Times New Roman"/>
          <w:bCs/>
          <w:noProof/>
          <w:color w:val="000099"/>
          <w:sz w:val="26"/>
          <w:szCs w:val="26"/>
        </w:rPr>
        <w:t>October 2,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6C1630">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6C1630">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6C1630">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6C1630">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6C1630">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6C1630">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6C1630">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6C1630">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6C1630">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6C1630">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6C1630">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6C1630">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6C1630">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6C1630">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6C1630">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6C1630">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6C1630">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6C1630">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6C1630">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6C1630">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6C1630">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6C1630">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6C1630">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6C1630">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6C1630">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6C1630">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6C1630">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6C1630">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6C1630">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6C1630">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6C1630">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6C1630">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6C1630">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6C1630">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6C1630">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6C1630">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6C1630">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6C1630">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6C1630">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6C1630">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6C1630">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6C1630">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6C1630">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6C1630">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6C1630">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6C1630">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6C1630">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6C1630">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6C1630">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6C1630">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6C1630">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6C1630">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6C1630">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6C1630">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6C1630">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6C1630">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6C1630">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6C1630">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6C1630">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6C1630">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6C1630">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6C1630">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6C1630">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6C1630">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6C1630">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6C1630">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6C1630">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6C1630">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6C1630">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6C1630">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6C1630">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6C1630">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6C1630">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6C1630">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6C1630">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6C1630">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6C1630">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6C1630">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6C1630">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6C1630">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6C1630">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6C1630">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6C1630">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6C1630">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6C1630">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6C1630">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6C1630">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6C1630">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6C1630">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6C1630">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6C1630">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6C1630">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6C1630">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6C1630">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6C1630">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6C1630">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6C1630">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6C1630">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6C1630">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6C1630">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6C1630">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6C1630">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6C1630">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6C1630">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6C1630">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6C1630">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6C1630">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6C1630">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6C1630">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6C1630">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6C1630">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6C1630">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6C1630">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6C1630">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6C1630">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6C1630">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6C1630">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6C1630">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6C1630">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6C1630" w:rsidP="00FB173A">
      <w:pPr>
        <w:pStyle w:val="NormalEnd"/>
      </w:pPr>
      <w:r>
        <w:t>TBD</w:t>
      </w:r>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6C1630" w:rsidP="00B83DD4">
            <w:pPr>
              <w:spacing w:afterLines="0" w:after="0"/>
              <w:rPr>
                <w:rFonts w:ascii="Times New Roman" w:hAnsi="Times New Roman" w:cs="Times New Roman"/>
                <w:sz w:val="20"/>
                <w:szCs w:val="20"/>
              </w:rPr>
            </w:pPr>
            <w:r>
              <w:rPr>
                <w:rFonts w:cs="Times New Roman"/>
                <w:sz w:val="20"/>
                <w:szCs w:val="20"/>
              </w:rPr>
              <w:t>Maria Nozzolino</w:t>
            </w:r>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6C1630" w:rsidP="00B83DD4">
            <w:pPr>
              <w:spacing w:afterLines="0" w:after="0"/>
              <w:rPr>
                <w:rFonts w:ascii="Times New Roman" w:hAnsi="Times New Roman" w:cs="Times New Roman"/>
                <w:sz w:val="20"/>
                <w:szCs w:val="20"/>
              </w:rPr>
            </w:pPr>
            <w:r>
              <w:rPr>
                <w:rFonts w:cs="Times New Roman"/>
                <w:sz w:val="20"/>
                <w:szCs w:val="20"/>
              </w:rPr>
              <w:t>Edgewater Isle North Homeowners Association</w:t>
            </w:r>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6C1630" w:rsidP="00B83DD4">
            <w:pPr>
              <w:spacing w:afterLines="0" w:after="0"/>
              <w:rPr>
                <w:rFonts w:ascii="Times New Roman" w:hAnsi="Times New Roman" w:cs="Times New Roman"/>
                <w:sz w:val="20"/>
                <w:szCs w:val="20"/>
              </w:rPr>
            </w:pPr>
            <w:r>
              <w:rPr>
                <w:rFonts w:cs="Times New Roman"/>
                <w:sz w:val="20"/>
                <w:szCs w:val="20"/>
              </w:rPr>
              <w:t>HOA</w:t>
            </w:r>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bookmarkEnd w:id="5"/>
      <w:r w:rsidR="00C75C1D" w:rsidRPr="00020852">
        <w:t>NOTABLE PROVISIONS OF THE GOVERNING DOCUMENTS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r>
        <w:rPr>
          <w:rFonts w:cs="Times New Roman"/>
          <w:szCs w:val="24"/>
        </w:rPr>
        <w:t>TBD</w:t>
      </w:r>
      <w:r w:rsidRPr="00020852">
        <w:rPr>
          <w:rFonts w:cs="Times New Roman"/>
          <w:szCs w:val="24"/>
        </w:rPr>
        <w:t xml:space="preserve"> </w:t>
      </w:r>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52C8A33F" w14:textId="3E9BEF90" w:rsidR="00370492" w:rsidRDefault="00370492" w:rsidP="001257C8">
      <w:pPr>
        <w:pStyle w:val="Line"/>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r>
        <w:rPr>
          <w:rFonts w:cs="Times New Roman"/>
          <w:szCs w:val="24"/>
        </w:rPr>
        <w:t>TBD</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3F32C066" w14:textId="190BE478" w:rsidR="001257C8" w:rsidRPr="001257C8" w:rsidRDefault="001257C8" w:rsidP="001257C8">
      <w:pPr>
        <w:pStyle w:val="Line"/>
      </w:pPr>
      <w:r w:rsidRPr="001257C8">
        <w:t>________________________________</w:t>
      </w:r>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r w:rsidR="002155D0" w:rsidRPr="00EA2883">
        <w:t xml:space="preserve">POTENTIAL CAUSES OF ACTION </w:t>
      </w:r>
      <w:r w:rsidR="002155D0">
        <w:t>&amp;</w:t>
      </w:r>
      <w:r w:rsidR="002155D0" w:rsidRPr="00EA2883">
        <w:br/>
        <w:t>THE STRENGTHS/WEAKNESSES OF EACH</w:t>
      </w:r>
      <w:bookmarkEnd w:id="18"/>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lastRenderedPageBreak/>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bookmarkStart w:id="25" w:name="_Hlk131406768"/>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lastRenderedPageBreak/>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98E4C54"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27" w:name="_Toc130368707"/>
      <w:r w:rsidRPr="00020852">
        <w:fldChar w:fldCharType="end"/>
      </w:r>
      <w:r>
        <w:br/>
      </w:r>
      <w:r w:rsidRPr="00020852">
        <w:t>Implied Covenant of Good Faith and Fair Dealing</w:t>
      </w:r>
      <w:bookmarkEnd w:id="2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A37E251"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8" w:name="_Toc130368708"/>
      <w:r w:rsidRPr="00020852">
        <w:fldChar w:fldCharType="end"/>
      </w:r>
      <w:r w:rsidR="007214CC">
        <w:br/>
      </w:r>
      <w:r w:rsidRPr="00020852">
        <w:t>Breach of Other Governing Documents</w:t>
      </w:r>
      <w:bookmarkEnd w:id="28"/>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130368709"/>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131398451"/>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1" w:name="_Hlk41133419"/>
      <w:r w:rsidRPr="00020852">
        <w:rPr>
          <w:rFonts w:cs="Times New Roman"/>
          <w:bCs/>
          <w:szCs w:val="24"/>
        </w:rPr>
        <w:t>The “enforcement” issue raised in the context of the “Breach of CC&amp;Rs” cause of action above is also applicable in the context of a negligence claim.</w:t>
      </w:r>
      <w:bookmarkEnd w:id="31"/>
    </w:p>
    <w:bookmarkStart w:id="32" w:name="_Hlk41032600"/>
    <w:bookmarkStart w:id="33" w:name="_Hlk130368841"/>
    <w:p w14:paraId="35949213" w14:textId="77777777" w:rsidR="00745226" w:rsidRDefault="009762AF" w:rsidP="009762AF">
      <w:pPr>
        <w:spacing w:after="264"/>
        <w:ind w:left="1080" w:hanging="360"/>
        <w:rPr>
          <w:rStyle w:val="property1"/>
          <w:rFonts w:eastAsia="Times New Roman" w:cs="Times New Roman"/>
        </w:rPr>
      </w:pPr>
      <w:bookmarkStart w:id="34"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4"/>
      <w:r w:rsidRPr="00020852">
        <w:rPr>
          <w:rFonts w:cs="Times New Roman"/>
          <w:szCs w:val="24"/>
        </w:rPr>
        <w:t xml:space="preserve"> </w:t>
      </w:r>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6" w:name="_Toc130368710"/>
      <w:r w:rsidRPr="00020852">
        <w:fldChar w:fldCharType="end"/>
      </w:r>
      <w:r w:rsidR="007214CC">
        <w:br/>
      </w:r>
      <w:r w:rsidRPr="00020852">
        <w:t>Breach of Fiduciary Duty</w:t>
      </w:r>
      <w:bookmarkEnd w:id="3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7" w:name="_Toc130368711"/>
      <w:r w:rsidRPr="00020852">
        <w:fldChar w:fldCharType="end"/>
      </w:r>
      <w:r w:rsidR="007214CC">
        <w:br/>
      </w:r>
      <w:r w:rsidRPr="00020852">
        <w:t>Nuisance</w:t>
      </w:r>
      <w:bookmarkEnd w:id="3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w:t>
      </w:r>
      <w:r w:rsidRPr="00D51AB5">
        <w:rPr>
          <w:rFonts w:cs="Times New Roman"/>
          <w:szCs w:val="24"/>
        </w:rPr>
        <w:lastRenderedPageBreak/>
        <w:t xml:space="preserve">(e.g., drainage, toxic spills, etc.), or the encroachment of a physical object, such as a structure built over a property line. </w:t>
      </w:r>
      <w:bookmarkEnd w:id="3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9"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50" w:name="_Toc130368718"/>
      <w:r w:rsidRPr="00020852">
        <w:fldChar w:fldCharType="end"/>
      </w:r>
      <w:r w:rsidR="006133C8">
        <w:br/>
      </w:r>
      <w:r w:rsidRPr="00020852">
        <w:t>Violation of Open Meeting Act</w:t>
      </w:r>
      <w:bookmarkEnd w:id="50"/>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xml:space="preserve">: The minutes, including drafts/proposed minutes, and summaries of minutes at all meetings other than executive sessions, shall be available to members within 30 days of the meeting. Members are entitled to copies of such documents if they reimburse the </w:t>
      </w:r>
      <w:r w:rsidRPr="00020852">
        <w:rPr>
          <w:rFonts w:cs="Times New Roman"/>
          <w:bCs/>
          <w:szCs w:val="24"/>
        </w:rPr>
        <w:lastRenderedPageBreak/>
        <w:t>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1" w:name="_Toc130368719"/>
      <w:r w:rsidRPr="00020852">
        <w:fldChar w:fldCharType="end"/>
      </w:r>
      <w:r w:rsidR="006133C8">
        <w:br/>
      </w:r>
      <w:r w:rsidRPr="00020852">
        <w:t>Declaratory Relief</w:t>
      </w:r>
      <w:bookmarkEnd w:id="5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2" w:name="_Hlk41042516"/>
    <w:bookmarkStart w:id="53" w:name="_Hlk131398658"/>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71" w:name="_Toc130368730"/>
      <w:r w:rsidRPr="00020852">
        <w:fldChar w:fldCharType="end"/>
      </w:r>
      <w:r w:rsidR="000B75CA">
        <w:br/>
      </w:r>
      <w:r w:rsidRPr="00020852">
        <w:t>Failure to Permit Inspection of Records</w:t>
      </w:r>
      <w:bookmarkEnd w:id="71"/>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72" w:name="_Hlk57621136"/>
      <w:r w:rsidRPr="00020852">
        <w:rPr>
          <w:rFonts w:cs="Times New Roman"/>
          <w:bCs/>
          <w:szCs w:val="24"/>
        </w:rPr>
        <w:t>A claim for failing to allow the records to be inspected must be brought within three years. (Code Civ. Proc., § 338(a).)</w:t>
      </w:r>
      <w:bookmarkEnd w:id="72"/>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2E806B1" w14:textId="4ACC42F8" w:rsidR="00116725" w:rsidRDefault="00116725" w:rsidP="001257C8">
      <w:pPr>
        <w:pStyle w:val="Line"/>
      </w:pPr>
      <w:r w:rsidRPr="00E9159A">
        <w:t>________________________________</w:t>
      </w:r>
    </w:p>
    <w:bookmarkStart w:id="141" w:name="_Toc130368761"/>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5" w:name="_Toc130368800"/>
      <w:r w:rsidRPr="00020852">
        <w:fldChar w:fldCharType="end"/>
      </w:r>
      <w:r w:rsidR="002970B7">
        <w:br/>
      </w:r>
      <w:r w:rsidR="00B77716" w:rsidRPr="00020852">
        <w:t>STRATEGIC CONSIDERATIONS</w:t>
      </w:r>
      <w:bookmarkEnd w:id="185"/>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6" w:name="_Toc53565571"/>
      <w:bookmarkStart w:id="187" w:name="_Toc130368801"/>
      <w:r w:rsidRPr="002F7882">
        <w:rPr>
          <w:color w:val="C00000"/>
        </w:rPr>
        <w:fldChar w:fldCharType="end"/>
      </w:r>
      <w:r w:rsidRPr="002F7882">
        <w:rPr>
          <w:color w:val="C00000"/>
        </w:rPr>
        <w:br/>
        <w:t>Statute of Limitations</w:t>
      </w:r>
      <w:bookmarkEnd w:id="186"/>
      <w:bookmarkEnd w:id="187"/>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r>
        <w:rPr>
          <w:rFonts w:cs="Times New Roman"/>
          <w:b/>
          <w:bCs/>
          <w:color w:val="C00000"/>
          <w:szCs w:val="24"/>
          <w:u w:val="single"/>
        </w:rPr>
        <w:t>November 29, 2025</w:t>
      </w:r>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8" w:name="_Toc130368802"/>
      <w:r w:rsidRPr="00020852">
        <w:fldChar w:fldCharType="end"/>
      </w:r>
      <w:r w:rsidR="002970B7">
        <w:br/>
      </w:r>
      <w:r w:rsidRPr="00020852">
        <w:t>Applicability of Davis-Stirling Act</w:t>
      </w:r>
      <w:bookmarkEnd w:id="188"/>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9" w:name="_Toc130368803"/>
      <w:r w:rsidRPr="00020852">
        <w:fldChar w:fldCharType="end"/>
      </w:r>
      <w:r w:rsidR="002970B7">
        <w:br/>
      </w:r>
      <w:r w:rsidR="00184ADF" w:rsidRPr="00020852">
        <w:t>Jurisdiction</w:t>
      </w:r>
      <w:bookmarkEnd w:id="189"/>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90" w:name="_Toc130368804"/>
      <w:r w:rsidRPr="00020852">
        <w:fldChar w:fldCharType="end"/>
      </w:r>
      <w:r w:rsidR="002970B7">
        <w:br/>
      </w:r>
      <w:r w:rsidR="00C53B37" w:rsidRPr="00020852">
        <w:t>Arbitration</w:t>
      </w:r>
      <w:bookmarkEnd w:id="190"/>
    </w:p>
    <w:bookmarkStart w:id="191" w:name="_Hlk53658305"/>
    <w:p w14:paraId="306FC814" w14:textId="354137E4" w:rsidR="00745226" w:rsidRDefault="00C53B37" w:rsidP="00C53B37">
      <w:pPr>
        <w:spacing w:after="264"/>
        <w:rPr>
          <w:rFonts w:cs="Times New Roman"/>
          <w:bCs/>
          <w:szCs w:val="24"/>
        </w:rPr>
      </w:pPr>
      <w:bookmarkStart w:id="194" w:name="_Hlk41900374"/>
      <w:bookmarkStart w:id="195" w:name="_Hlk41900647"/>
      <w:r w:rsidRPr="00020852">
        <w:rPr>
          <w:rFonts w:cs="Times New Roman"/>
          <w:bCs/>
          <w:szCs w:val="24"/>
        </w:rPr>
        <w:t xml:space="preserve">Since there is no binding arbitration provision in the CC&amp;Rs, any litigation related to the dispute must take place in </w:t>
      </w:r>
      <w:bookmarkEnd w:id="194"/>
      <w:r w:rsidR="00702005" w:rsidRPr="00020852">
        <w:rPr>
          <w:rFonts w:cs="Times New Roman"/>
          <w:bCs/>
          <w:szCs w:val="24"/>
        </w:rPr>
        <w:t xml:space="preserve">the superior court of </w:t>
      </w:r>
      <w:r>
        <w:rPr>
          <w:rFonts w:cs="Times New Roman"/>
          <w:szCs w:val="24"/>
        </w:rPr>
        <w:t>San Mateo</w:t>
      </w:r>
      <w:r w:rsidR="00702005" w:rsidRPr="00020852">
        <w:rPr>
          <w:rFonts w:cs="Times New Roman"/>
          <w:bCs/>
          <w:szCs w:val="24"/>
        </w:rPr>
        <w:t xml:space="preserve"> County because that is where Client’s property is located.</w:t>
      </w:r>
      <w:bookmarkEnd w:id="195"/>
      <w:r w:rsidRPr="00020852">
        <w:rPr>
          <w:rFonts w:cs="Times New Roman"/>
          <w:bCs/>
          <w:szCs w:val="24"/>
        </w:rPr>
        <w:t xml:space="preserve"> </w:t>
      </w:r>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6" w:name="_Toc130368805"/>
      <w:r w:rsidRPr="00020852">
        <w:fldChar w:fldCharType="end"/>
      </w:r>
      <w:r w:rsidR="002970B7">
        <w:br/>
      </w:r>
      <w:bookmarkEnd w:id="196"/>
      <w:r w:rsidR="007A188C">
        <w:t>Venue</w:t>
      </w:r>
    </w:p>
    <w:p w14:paraId="45A35712" w14:textId="2B957B35" w:rsidR="00702005" w:rsidRPr="00020852" w:rsidRDefault="001A6D43" w:rsidP="00702005">
      <w:pPr>
        <w:spacing w:after="264"/>
        <w:rPr>
          <w:rFonts w:cs="Times New Roman"/>
          <w:szCs w:val="24"/>
        </w:rPr>
      </w:pPr>
      <w:r w:rsidRPr="00020852">
        <w:rPr>
          <w:rFonts w:cs="Times New Roman"/>
        </w:rPr>
        <w:lastRenderedPageBreak/>
        <w:t xml:space="preserve">Because the issues related to the current dispute involve Client’s property, which is located in </w:t>
      </w:r>
      <w:r>
        <w:rPr>
          <w:rFonts w:cs="Times New Roman"/>
          <w:szCs w:val="24"/>
        </w:rPr>
        <w:t>San Mateo</w:t>
      </w:r>
      <w:r w:rsidRPr="00020852">
        <w:rPr>
          <w:rFonts w:cs="Times New Roman"/>
        </w:rPr>
        <w:t xml:space="preserve"> County, </w:t>
      </w:r>
      <w:r w:rsidR="001F0D6C">
        <w:rPr>
          <w:rFonts w:cs="Times New Roman"/>
        </w:rPr>
        <w:t xml:space="preserve">that is the appropriate venue for this case. </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8" w:name="_Toc130368807"/>
      <w:r w:rsidRPr="00020852">
        <w:fldChar w:fldCharType="end"/>
      </w:r>
      <w:r>
        <w:br/>
        <w:t>Standing</w:t>
      </w:r>
      <w:bookmarkEnd w:id="198"/>
    </w:p>
    <w:bookmarkStart w:id="199" w:name="_Hlk43282553"/>
    <w:bookmarkStart w:id="200" w:name="_Hlk43294078"/>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201" w:name="_Hlk43278950"/>
    <w:p w14:paraId="6671144C" w14:textId="77777777" w:rsidR="00745226" w:rsidRDefault="00D44EB8" w:rsidP="00EA2883">
      <w:pPr>
        <w:pStyle w:val="Heading2"/>
      </w:pPr>
      <w:r w:rsidRPr="00020852">
        <w:fldChar w:fldCharType="begin"/>
      </w:r>
      <w:r w:rsidRPr="00020852">
        <w:instrText xml:space="preserve"> LISTNUM LegalDefault \l 2 </w:instrText>
      </w:r>
      <w:bookmarkStart w:id="202" w:name="_Toc130368808"/>
      <w:r w:rsidRPr="00020852">
        <w:fldChar w:fldCharType="end"/>
      </w:r>
      <w:r w:rsidR="002970B7">
        <w:br/>
      </w:r>
      <w:r w:rsidRPr="00020852">
        <w:t>Anti-SLAPP Analysis</w:t>
      </w:r>
      <w:bookmarkEnd w:id="202"/>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 xml:space="preserve">Dowling v. </w:t>
      </w:r>
      <w:r w:rsidRPr="00025772">
        <w:rPr>
          <w:rFonts w:cs="Times New Roman"/>
          <w:i/>
          <w:iCs/>
        </w:rPr>
        <w:lastRenderedPageBreak/>
        <w:t>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7" w:name="_Toc130368809"/>
      <w:r w:rsidRPr="00020852">
        <w:fldChar w:fldCharType="end"/>
      </w:r>
      <w:r>
        <w:br/>
      </w:r>
      <w:r w:rsidRPr="00020852">
        <w:t>Pre-Filing Requirements</w:t>
      </w:r>
      <w:bookmarkEnd w:id="217"/>
      <w:r w:rsidR="00E24072">
        <w:br/>
        <w:t>(e.g., Notice or Mediation Requirements)</w:t>
      </w:r>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bookmarkStart w:id="218" w:name="_Hlk130541436"/>
    <w:p w14:paraId="58FB08BB" w14:textId="77777777" w:rsidR="00A35502" w:rsidRDefault="00A35502" w:rsidP="00A35502">
      <w:pPr>
        <w:pStyle w:val="Heading2"/>
      </w:pPr>
      <w:r w:rsidRPr="00020852">
        <w:fldChar w:fldCharType="begin"/>
      </w:r>
      <w:r w:rsidRPr="00020852">
        <w:instrText xml:space="preserve"> LISTNUM LegalDefault \l 2 </w:instrText>
      </w:r>
      <w:bookmarkStart w:id="221" w:name="_Toc130368810"/>
      <w:r w:rsidRPr="00020852">
        <w:fldChar w:fldCharType="end"/>
      </w:r>
      <w:r>
        <w:br/>
      </w:r>
      <w:r w:rsidRPr="00020852">
        <w:t>Attorneys’ Fees and Costs</w:t>
      </w:r>
      <w:bookmarkEnd w:id="221"/>
    </w:p>
    <w:p w14:paraId="6453469A" w14:textId="485402B7" w:rsidR="00C70AD9" w:rsidRDefault="00C51A94" w:rsidP="004F0F08">
      <w:pPr>
        <w:pStyle w:val="NormalEnd"/>
      </w:pPr>
      <w:r>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r>
        <w:t>TBD</w:t>
      </w:r>
      <w:r w:rsidR="00A35502" w:rsidRPr="00020852">
        <w:t xml:space="preserve"> of the CC&amp;Rs.</w:t>
      </w:r>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4"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5"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5"/>
    </w:p>
    <w:p w14:paraId="0E7FD39D" w14:textId="5CB84CD9" w:rsidR="0057244F" w:rsidRDefault="006C1630" w:rsidP="00ED253D">
      <w:pPr>
        <w:spacing w:after="264"/>
      </w:pPr>
      <w:r>
        <w:t>None at this time.</w:t>
      </w:r>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4"/>
    </w:p>
    <w:p w14:paraId="5828B9B5" w14:textId="61325DEF" w:rsidR="00187D06" w:rsidRDefault="002A00E7" w:rsidP="001257C8">
      <w:pPr>
        <w:pStyle w:val="Line"/>
      </w:pPr>
      <w:bookmarkStart w:id="226" w:name="_Hlk43439444"/>
      <w:r w:rsidRPr="005C5314">
        <w:t>________________________________</w:t>
      </w:r>
      <w:bookmarkEnd w:id="226"/>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AAA4F" w14:textId="77777777" w:rsidR="00A04216" w:rsidRDefault="00A04216" w:rsidP="007B1C23">
      <w:pPr>
        <w:spacing w:after="264"/>
      </w:pPr>
      <w:r>
        <w:separator/>
      </w:r>
    </w:p>
    <w:p w14:paraId="1604697A" w14:textId="77777777" w:rsidR="00A04216" w:rsidRDefault="00A04216">
      <w:pPr>
        <w:spacing w:after="264"/>
      </w:pPr>
    </w:p>
  </w:endnote>
  <w:endnote w:type="continuationSeparator" w:id="0">
    <w:p w14:paraId="6F905074" w14:textId="77777777" w:rsidR="00A04216" w:rsidRDefault="00A04216" w:rsidP="007B1C23">
      <w:pPr>
        <w:spacing w:after="264"/>
      </w:pPr>
      <w:r>
        <w:continuationSeparator/>
      </w:r>
    </w:p>
    <w:p w14:paraId="0E6B5FC4" w14:textId="77777777" w:rsidR="00A04216" w:rsidRDefault="00A04216">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6C1630"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Nozzolino v. Edgewater Isle North HOA</w:t>
          </w:r>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8E2DF" w14:textId="77777777" w:rsidR="00A04216" w:rsidRDefault="00A04216" w:rsidP="007B1C23">
      <w:pPr>
        <w:spacing w:after="264"/>
      </w:pPr>
      <w:r>
        <w:separator/>
      </w:r>
    </w:p>
    <w:p w14:paraId="1F747CE6" w14:textId="77777777" w:rsidR="00A04216" w:rsidRDefault="00A04216">
      <w:pPr>
        <w:spacing w:after="264"/>
      </w:pPr>
    </w:p>
  </w:footnote>
  <w:footnote w:type="continuationSeparator" w:id="0">
    <w:p w14:paraId="352BD632" w14:textId="77777777" w:rsidR="00A04216" w:rsidRDefault="00A04216" w:rsidP="007B1C23">
      <w:pPr>
        <w:spacing w:after="264"/>
      </w:pPr>
      <w:r>
        <w:continuationSeparator/>
      </w:r>
    </w:p>
    <w:p w14:paraId="6DC5072A" w14:textId="77777777" w:rsidR="00A04216" w:rsidRDefault="00A04216">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5"/>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575"/>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0D2B"/>
    <w:rsid w:val="00051D6A"/>
    <w:rsid w:val="000542BD"/>
    <w:rsid w:val="000558C8"/>
    <w:rsid w:val="00055ED1"/>
    <w:rsid w:val="00060AFC"/>
    <w:rsid w:val="000611D4"/>
    <w:rsid w:val="00062493"/>
    <w:rsid w:val="000769AF"/>
    <w:rsid w:val="000813C7"/>
    <w:rsid w:val="00081DB0"/>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6CAA"/>
    <w:rsid w:val="0013103A"/>
    <w:rsid w:val="00133CF2"/>
    <w:rsid w:val="00134CE1"/>
    <w:rsid w:val="00135C3E"/>
    <w:rsid w:val="00136CE0"/>
    <w:rsid w:val="00136DD5"/>
    <w:rsid w:val="0013715C"/>
    <w:rsid w:val="0013769B"/>
    <w:rsid w:val="00142519"/>
    <w:rsid w:val="001436AB"/>
    <w:rsid w:val="001447D7"/>
    <w:rsid w:val="00146123"/>
    <w:rsid w:val="0015453B"/>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07410"/>
    <w:rsid w:val="00210D4F"/>
    <w:rsid w:val="002155D0"/>
    <w:rsid w:val="00217822"/>
    <w:rsid w:val="002211D1"/>
    <w:rsid w:val="0022269D"/>
    <w:rsid w:val="00223297"/>
    <w:rsid w:val="0022428E"/>
    <w:rsid w:val="00224835"/>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0FF6"/>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2F6"/>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D6C1F"/>
    <w:rsid w:val="003E431D"/>
    <w:rsid w:val="003E50AD"/>
    <w:rsid w:val="003F0761"/>
    <w:rsid w:val="003F3DB0"/>
    <w:rsid w:val="003F541C"/>
    <w:rsid w:val="003F54B5"/>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97350"/>
    <w:rsid w:val="004A0B64"/>
    <w:rsid w:val="004A2E71"/>
    <w:rsid w:val="004A6EF6"/>
    <w:rsid w:val="004A7356"/>
    <w:rsid w:val="004C131C"/>
    <w:rsid w:val="004C3C0D"/>
    <w:rsid w:val="004C4FE9"/>
    <w:rsid w:val="004C6B67"/>
    <w:rsid w:val="004D0470"/>
    <w:rsid w:val="004D394F"/>
    <w:rsid w:val="004D4B77"/>
    <w:rsid w:val="004D4CF2"/>
    <w:rsid w:val="004D589C"/>
    <w:rsid w:val="004D6238"/>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1630"/>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21F"/>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76823"/>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08C0"/>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463"/>
    <w:rsid w:val="008C0A5D"/>
    <w:rsid w:val="008C4959"/>
    <w:rsid w:val="008C5862"/>
    <w:rsid w:val="008C67F5"/>
    <w:rsid w:val="008C72D4"/>
    <w:rsid w:val="008D0861"/>
    <w:rsid w:val="008D0B9A"/>
    <w:rsid w:val="008D20E4"/>
    <w:rsid w:val="008E490C"/>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665E5"/>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16"/>
    <w:rsid w:val="00A042E1"/>
    <w:rsid w:val="00A076BA"/>
    <w:rsid w:val="00A1025D"/>
    <w:rsid w:val="00A11269"/>
    <w:rsid w:val="00A134AB"/>
    <w:rsid w:val="00A139DF"/>
    <w:rsid w:val="00A32791"/>
    <w:rsid w:val="00A33F07"/>
    <w:rsid w:val="00A35502"/>
    <w:rsid w:val="00A35883"/>
    <w:rsid w:val="00A406C4"/>
    <w:rsid w:val="00A4178E"/>
    <w:rsid w:val="00A440D4"/>
    <w:rsid w:val="00A471FE"/>
    <w:rsid w:val="00A51004"/>
    <w:rsid w:val="00A510F2"/>
    <w:rsid w:val="00A53490"/>
    <w:rsid w:val="00A54145"/>
    <w:rsid w:val="00A549A0"/>
    <w:rsid w:val="00A559FB"/>
    <w:rsid w:val="00A64958"/>
    <w:rsid w:val="00A66DB7"/>
    <w:rsid w:val="00A67294"/>
    <w:rsid w:val="00A70139"/>
    <w:rsid w:val="00A70425"/>
    <w:rsid w:val="00A70D9A"/>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A7F75"/>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C2B47"/>
    <w:rsid w:val="00CD1424"/>
    <w:rsid w:val="00CD15D7"/>
    <w:rsid w:val="00CD357D"/>
    <w:rsid w:val="00CD3B63"/>
    <w:rsid w:val="00CD3E9F"/>
    <w:rsid w:val="00CD4B43"/>
    <w:rsid w:val="00CD5D65"/>
    <w:rsid w:val="00CD6DB4"/>
    <w:rsid w:val="00CD723A"/>
    <w:rsid w:val="00CE05A8"/>
    <w:rsid w:val="00CE3F29"/>
    <w:rsid w:val="00CE40C2"/>
    <w:rsid w:val="00CE4BDC"/>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076C"/>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68A"/>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02A7B"/>
    <w:rsid w:val="00112554"/>
    <w:rsid w:val="00126DC0"/>
    <w:rsid w:val="001317CF"/>
    <w:rsid w:val="00163719"/>
    <w:rsid w:val="001719C6"/>
    <w:rsid w:val="001A3FA2"/>
    <w:rsid w:val="001A5DF3"/>
    <w:rsid w:val="00262515"/>
    <w:rsid w:val="002F6ED1"/>
    <w:rsid w:val="00326639"/>
    <w:rsid w:val="003415D7"/>
    <w:rsid w:val="00351FD7"/>
    <w:rsid w:val="0035381E"/>
    <w:rsid w:val="00390A84"/>
    <w:rsid w:val="003F4E05"/>
    <w:rsid w:val="003F590F"/>
    <w:rsid w:val="00435FA7"/>
    <w:rsid w:val="00485A7A"/>
    <w:rsid w:val="004B3C09"/>
    <w:rsid w:val="00527F83"/>
    <w:rsid w:val="00552E60"/>
    <w:rsid w:val="00554C11"/>
    <w:rsid w:val="005A2CCB"/>
    <w:rsid w:val="006018F9"/>
    <w:rsid w:val="00700325"/>
    <w:rsid w:val="00731857"/>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61E7E"/>
    <w:rsid w:val="00CA64A5"/>
    <w:rsid w:val="00CB2084"/>
    <w:rsid w:val="00CF025C"/>
    <w:rsid w:val="00D46CF3"/>
    <w:rsid w:val="00D51878"/>
    <w:rsid w:val="00D54225"/>
    <w:rsid w:val="00D675D8"/>
    <w:rsid w:val="00D72243"/>
    <w:rsid w:val="00DB5E4B"/>
    <w:rsid w:val="00DC25DD"/>
    <w:rsid w:val="00E037D7"/>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radio_client_plaintiff_defendant == \&quot;Plaintiff/Petitioner\&quot; %}&quot;},{&quot;label&quot;:&quot;Based 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2843</TotalTime>
  <Pages>189</Pages>
  <Words>56086</Words>
  <Characters>319695</Characters>
  <Application>Microsoft Office Word</Application>
  <DocSecurity>0</DocSecurity>
  <Lines>2664</Lines>
  <Paragraphs>750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447</cp:revision>
  <cp:lastPrinted>2019-02-13T22:26:00Z</cp:lastPrinted>
  <dcterms:created xsi:type="dcterms:W3CDTF">2020-06-05T18:10:00Z</dcterms:created>
  <dcterms:modified xsi:type="dcterms:W3CDTF">2023-10-02T17:00:00Z</dcterms:modified>
</cp:coreProperties>
</file>