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3439BB" w:rsidP="005C2B5C">
      <w:pPr>
        <w:spacing w:after="264"/>
        <w:jc w:val="center"/>
        <w:rPr>
          <w:rFonts w:cs="Times New Roman"/>
          <w:b/>
          <w:bCs/>
          <w:sz w:val="44"/>
          <w:szCs w:val="44"/>
        </w:rPr>
      </w:pPr>
      <w:r>
        <w:rPr>
          <w:rFonts w:cs="Times New Roman"/>
          <w:b/>
          <w:bCs/>
          <w:sz w:val="44"/>
          <w:szCs w:val="44"/>
        </w:rPr>
        <w:t>Burt v. Mission Ridge HOA</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3439BB" w:rsidP="00E31A1C">
      <w:pPr>
        <w:spacing w:afterLines="0" w:after="0"/>
        <w:jc w:val="center"/>
        <w:rPr>
          <w:rFonts w:cs="Times New Roman"/>
          <w:sz w:val="28"/>
          <w:szCs w:val="28"/>
        </w:rPr>
      </w:pPr>
      <w:r>
        <w:rPr>
          <w:rFonts w:cs="Times New Roman"/>
          <w:sz w:val="28"/>
          <w:szCs w:val="28"/>
        </w:rPr>
        <w:t>CF</w:t>
      </w:r>
    </w:p>
    <w:p w14:paraId="1B4DFB73" w14:textId="78AE2854"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2A2B3C">
        <w:rPr>
          <w:rFonts w:cs="Times New Roman"/>
          <w:noProof/>
          <w:szCs w:val="24"/>
        </w:rPr>
        <w:t>October 19,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3439BB" w:rsidP="00ED2D7D">
      <w:pPr>
        <w:spacing w:after="264"/>
        <w:rPr>
          <w:rFonts w:cs="Times New Roman"/>
          <w:szCs w:val="24"/>
        </w:rPr>
      </w:pPr>
      <w:r>
        <w:rPr>
          <w:rFonts w:cs="Times New Roman"/>
          <w:szCs w:val="24"/>
        </w:rPr>
        <w:t>Client is the owner of 5778 Montessa Drive, Camarillo, CA, which is within the Mission Ridge Community Association (HOA). On April 28, 2026, Client observed that water was leaking from the area of the water meter. Camarillo Water District noted that the leak was attributable to tree roots from a Common Area tree. Client engaged in IDR. ADD DETAIL</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E14AB1" w:rsidRPr="007C6F41" w14:paraId="673D91E8" w14:textId="77777777" w:rsidTr="00F53050">
        <w:trPr>
          <w:trHeight w:val="800"/>
        </w:trPr>
        <w:tc>
          <w:tcPr>
            <w:tcW w:w="5215" w:type="dxa"/>
            <w:shd w:val="clear" w:color="auto" w:fill="BDD6EE" w:themeFill="accent1" w:themeFillTint="66"/>
            <w:vAlign w:val="center"/>
          </w:tcPr>
          <w:p w14:paraId="79CDCAF2"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023285A4" w14:textId="6A46BE26"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2977144E" w14:textId="77777777" w:rsidTr="00964F25">
        <w:tc>
          <w:tcPr>
            <w:tcW w:w="5215" w:type="dxa"/>
            <w:vAlign w:val="center"/>
          </w:tcPr>
          <w:p w14:paraId="445771D6" w14:textId="6EB3F1BC" w:rsidR="00E14AB1" w:rsidRPr="007C6F41" w:rsidRDefault="003439BB" w:rsidP="00EF2457">
            <w:pPr>
              <w:spacing w:afterLines="0" w:after="0"/>
              <w:rPr>
                <w:rFonts w:cs="Times New Roman"/>
                <w:sz w:val="20"/>
                <w:szCs w:val="20"/>
              </w:rPr>
            </w:pPr>
            <w:r>
              <w:rPr>
                <w:rFonts w:cs="Times New Roman"/>
                <w:sz w:val="20"/>
                <w:szCs w:val="20"/>
              </w:rPr>
              <w:t>Gabriel Burt</w:t>
            </w:r>
            <w:r w:rsidR="006C37BD">
              <w:rPr>
                <w:rFonts w:cs="Times New Roman"/>
                <w:sz w:val="20"/>
                <w:szCs w:val="20"/>
              </w:rPr>
              <w:t xml:space="preserve"> (“Client”)</w:t>
            </w:r>
          </w:p>
        </w:tc>
        <w:tc>
          <w:tcPr>
            <w:tcW w:w="5490" w:type="dxa"/>
            <w:vAlign w:val="center"/>
          </w:tcPr>
          <w:p w14:paraId="5EA9166C" w14:textId="77777777" w:rsidR="00EC6A14" w:rsidRPr="007C6F41" w:rsidRDefault="00EC6A14" w:rsidP="00EF2457">
            <w:pPr>
              <w:spacing w:afterLines="0" w:after="0"/>
              <w:rPr>
                <w:rFonts w:cs="Times New Roman"/>
                <w:sz w:val="20"/>
                <w:szCs w:val="20"/>
              </w:rPr>
            </w:pPr>
          </w:p>
          <w:p w14:paraId="75F0EE35" w14:textId="2DE5A99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69B6EB8B" w14:textId="4A6DEB83" w:rsidR="004D6471" w:rsidRPr="007C6F41" w:rsidRDefault="004D6471" w:rsidP="00EF2457">
            <w:pPr>
              <w:spacing w:afterLines="0" w:after="0"/>
              <w:rPr>
                <w:rFonts w:cs="Times New Roman"/>
                <w:sz w:val="20"/>
                <w:szCs w:val="20"/>
              </w:rPr>
            </w:pPr>
          </w:p>
        </w:tc>
      </w:tr>
      <w:tr w:rsidR="000375D2" w:rsidRPr="007C6F41" w14:paraId="13547F77" w14:textId="77777777" w:rsidTr="00964F25">
        <w:tc>
          <w:tcPr>
            <w:tcW w:w="5215" w:type="dxa"/>
            <w:vAlign w:val="center"/>
          </w:tcPr>
          <w:p w14:paraId="71109039" w14:textId="0DCE214E" w:rsidR="000375D2" w:rsidRPr="007C6F41" w:rsidRDefault="003439BB" w:rsidP="00EF2457">
            <w:pPr>
              <w:spacing w:afterLines="0" w:after="0"/>
              <w:rPr>
                <w:rFonts w:cs="Times New Roman"/>
                <w:sz w:val="20"/>
                <w:szCs w:val="20"/>
              </w:rPr>
            </w:pPr>
            <w:r>
              <w:rPr>
                <w:rFonts w:cs="Times New Roman"/>
                <w:sz w:val="20"/>
                <w:szCs w:val="20"/>
              </w:rPr>
              <w:t>Mission Ridge Community Association ("HOA")</w:t>
            </w:r>
          </w:p>
        </w:tc>
        <w:tc>
          <w:tcPr>
            <w:tcW w:w="5490" w:type="dxa"/>
            <w:vAlign w:val="center"/>
          </w:tcPr>
          <w:p w14:paraId="563CF236" w14:textId="77777777" w:rsidR="00EC6A14" w:rsidRPr="007C6F41" w:rsidRDefault="00EC6A14" w:rsidP="00EF2457">
            <w:pPr>
              <w:spacing w:afterLines="0" w:after="0"/>
              <w:rPr>
                <w:rFonts w:cs="Times New Roman"/>
                <w:sz w:val="20"/>
                <w:szCs w:val="20"/>
              </w:rPr>
            </w:pPr>
          </w:p>
          <w:p w14:paraId="17E27687" w14:textId="19300353" w:rsidR="000375D2" w:rsidRPr="007C6F41" w:rsidRDefault="003439BB" w:rsidP="00EF2457">
            <w:pPr>
              <w:spacing w:afterLines="0" w:after="0"/>
              <w:rPr>
                <w:rFonts w:cs="Times New Roman"/>
                <w:sz w:val="20"/>
                <w:szCs w:val="20"/>
              </w:rPr>
            </w:pPr>
            <w:r>
              <w:rPr>
                <w:rFonts w:cs="Times New Roman"/>
                <w:sz w:val="20"/>
                <w:szCs w:val="20"/>
              </w:rPr>
              <w:t>HOA</w:t>
            </w:r>
          </w:p>
          <w:p w14:paraId="2379D105" w14:textId="36EF5D7E" w:rsidR="004D6471" w:rsidRPr="007C6F41" w:rsidRDefault="004D6471" w:rsidP="00EF2457">
            <w:pPr>
              <w:spacing w:afterLines="0" w:after="0"/>
              <w:rPr>
                <w:rFonts w:cs="Times New Roman"/>
                <w:sz w:val="20"/>
                <w:szCs w:val="20"/>
              </w:rPr>
            </w:pPr>
          </w:p>
        </w:tc>
      </w:tr>
      <w:tr w:rsidR="000375D2" w:rsidRPr="007C6F41" w14:paraId="5D56E784" w14:textId="77777777" w:rsidTr="00964F25">
        <w:tc>
          <w:tcPr>
            <w:tcW w:w="5215" w:type="dxa"/>
            <w:vAlign w:val="center"/>
          </w:tcPr>
          <w:p w14:paraId="5FE1096A" w14:textId="00D317DC" w:rsidR="000375D2" w:rsidRPr="007C6F41" w:rsidRDefault="003439BB" w:rsidP="00EF2457">
            <w:pPr>
              <w:spacing w:afterLines="0" w:after="0"/>
              <w:rPr>
                <w:rFonts w:cs="Times New Roman"/>
                <w:sz w:val="20"/>
                <w:szCs w:val="20"/>
              </w:rPr>
            </w:pPr>
            <w:r>
              <w:rPr>
                <w:rFonts w:cs="Times New Roman"/>
                <w:sz w:val="20"/>
                <w:szCs w:val="20"/>
              </w:rPr>
              <w:t>Community Property Management ("CPM")</w:t>
            </w:r>
          </w:p>
        </w:tc>
        <w:tc>
          <w:tcPr>
            <w:tcW w:w="5490" w:type="dxa"/>
            <w:vAlign w:val="center"/>
          </w:tcPr>
          <w:p w14:paraId="51235C3E" w14:textId="77777777" w:rsidR="00EC6A14" w:rsidRPr="007C6F41" w:rsidRDefault="00EC6A14" w:rsidP="00EF2457">
            <w:pPr>
              <w:spacing w:afterLines="0" w:after="0"/>
              <w:rPr>
                <w:rFonts w:cs="Times New Roman"/>
                <w:sz w:val="20"/>
                <w:szCs w:val="20"/>
              </w:rPr>
            </w:pPr>
          </w:p>
          <w:p w14:paraId="2810E3F2" w14:textId="27CEBCB8" w:rsidR="000375D2" w:rsidRPr="007C6F41" w:rsidRDefault="003439BB" w:rsidP="00EF2457">
            <w:pPr>
              <w:spacing w:afterLines="0" w:after="0"/>
              <w:rPr>
                <w:rFonts w:cs="Times New Roman"/>
                <w:sz w:val="20"/>
                <w:szCs w:val="20"/>
              </w:rPr>
            </w:pPr>
            <w:r>
              <w:rPr>
                <w:rFonts w:cs="Times New Roman"/>
                <w:sz w:val="20"/>
                <w:szCs w:val="20"/>
              </w:rPr>
              <w:t>Property Management Company</w:t>
            </w:r>
          </w:p>
          <w:p w14:paraId="5733126E" w14:textId="7F9F9480" w:rsidR="004D6471" w:rsidRPr="007C6F41" w:rsidRDefault="004D6471" w:rsidP="00EF2457">
            <w:pPr>
              <w:spacing w:afterLines="0" w:after="0"/>
              <w:rPr>
                <w:rFonts w:cs="Times New Roman"/>
                <w:sz w:val="20"/>
                <w:szCs w:val="20"/>
              </w:rPr>
            </w:pPr>
          </w:p>
        </w:tc>
      </w:tr>
      <w:tr w:rsidR="000375D2" w:rsidRPr="007C6F41" w14:paraId="6DAB477A" w14:textId="77777777" w:rsidTr="00964F25">
        <w:tc>
          <w:tcPr>
            <w:tcW w:w="5215" w:type="dxa"/>
            <w:vAlign w:val="center"/>
          </w:tcPr>
          <w:p w14:paraId="1C7C3316" w14:textId="0598D780" w:rsidR="000375D2" w:rsidRPr="007C6F41" w:rsidRDefault="003439BB" w:rsidP="00EF2457">
            <w:pPr>
              <w:spacing w:afterLines="0" w:after="0"/>
              <w:rPr>
                <w:rFonts w:cs="Times New Roman"/>
                <w:sz w:val="20"/>
                <w:szCs w:val="20"/>
              </w:rPr>
            </w:pPr>
            <w:r>
              <w:rPr>
                <w:rFonts w:cs="Times New Roman"/>
                <w:sz w:val="20"/>
                <w:szCs w:val="20"/>
              </w:rPr>
              <w:t>Sue Wachtel ("Wachtel")</w:t>
            </w:r>
          </w:p>
        </w:tc>
        <w:tc>
          <w:tcPr>
            <w:tcW w:w="5490" w:type="dxa"/>
            <w:vAlign w:val="center"/>
          </w:tcPr>
          <w:p w14:paraId="6A83C519" w14:textId="77777777" w:rsidR="00EC6A14" w:rsidRPr="007C6F41" w:rsidRDefault="00EC6A14" w:rsidP="00EF2457">
            <w:pPr>
              <w:spacing w:afterLines="0" w:after="0"/>
              <w:rPr>
                <w:rFonts w:cs="Times New Roman"/>
                <w:sz w:val="20"/>
                <w:szCs w:val="20"/>
              </w:rPr>
            </w:pPr>
          </w:p>
          <w:p w14:paraId="547276E0" w14:textId="1A86B697" w:rsidR="000375D2" w:rsidRPr="007C6F41" w:rsidRDefault="003439BB" w:rsidP="00EF2457">
            <w:pPr>
              <w:spacing w:afterLines="0" w:after="0"/>
              <w:rPr>
                <w:rFonts w:cs="Times New Roman"/>
                <w:sz w:val="20"/>
                <w:szCs w:val="20"/>
              </w:rPr>
            </w:pPr>
            <w:r>
              <w:rPr>
                <w:rFonts w:cs="Times New Roman"/>
                <w:sz w:val="20"/>
                <w:szCs w:val="20"/>
              </w:rPr>
              <w:t>Community Manager</w:t>
            </w:r>
          </w:p>
          <w:p w14:paraId="63C091EE" w14:textId="165BA26A" w:rsidR="004D6471" w:rsidRPr="007C6F41" w:rsidRDefault="004D6471" w:rsidP="00EF2457">
            <w:pPr>
              <w:spacing w:afterLines="0" w:after="0"/>
              <w:rPr>
                <w:rFonts w:cs="Times New Roman"/>
                <w:sz w:val="20"/>
                <w:szCs w:val="20"/>
              </w:rPr>
            </w:pPr>
          </w:p>
        </w:tc>
      </w:tr>
      <w:tr w:rsidR="000375D2" w:rsidRPr="007C6F41" w14:paraId="69392200" w14:textId="77777777" w:rsidTr="00964F25">
        <w:tc>
          <w:tcPr>
            <w:tcW w:w="5215" w:type="dxa"/>
            <w:vAlign w:val="center"/>
          </w:tcPr>
          <w:p w14:paraId="47C2D5DD" w14:textId="14BB54AD" w:rsidR="000375D2" w:rsidRPr="007C6F41" w:rsidRDefault="003439BB" w:rsidP="00EF2457">
            <w:pPr>
              <w:spacing w:afterLines="0" w:after="0"/>
              <w:rPr>
                <w:rFonts w:cs="Times New Roman"/>
                <w:sz w:val="20"/>
                <w:szCs w:val="20"/>
              </w:rPr>
            </w:pPr>
            <w:r>
              <w:rPr>
                <w:rFonts w:cs="Times New Roman"/>
                <w:sz w:val="20"/>
                <w:szCs w:val="20"/>
              </w:rPr>
              <w:t>Enhanced Arbor Management ("Enhanced Arbor")</w:t>
            </w:r>
          </w:p>
        </w:tc>
        <w:tc>
          <w:tcPr>
            <w:tcW w:w="5490" w:type="dxa"/>
            <w:vAlign w:val="center"/>
          </w:tcPr>
          <w:p w14:paraId="4C51ED09" w14:textId="77777777" w:rsidR="00EC6A14" w:rsidRPr="007C6F41" w:rsidRDefault="00EC6A14" w:rsidP="00EF2457">
            <w:pPr>
              <w:spacing w:afterLines="0" w:after="0"/>
              <w:rPr>
                <w:rFonts w:cs="Times New Roman"/>
                <w:sz w:val="20"/>
                <w:szCs w:val="20"/>
              </w:rPr>
            </w:pPr>
          </w:p>
          <w:p w14:paraId="3392BCB2" w14:textId="4B302E85" w:rsidR="000375D2" w:rsidRPr="007C6F41" w:rsidRDefault="003439BB" w:rsidP="00EF2457">
            <w:pPr>
              <w:spacing w:afterLines="0" w:after="0"/>
              <w:rPr>
                <w:rFonts w:cs="Times New Roman"/>
                <w:sz w:val="20"/>
                <w:szCs w:val="20"/>
              </w:rPr>
            </w:pPr>
            <w:r>
              <w:rPr>
                <w:rFonts w:cs="Times New Roman"/>
                <w:sz w:val="20"/>
                <w:szCs w:val="20"/>
              </w:rPr>
              <w:t>Tree care vendor</w:t>
            </w:r>
          </w:p>
          <w:p w14:paraId="18936291" w14:textId="1C1D8562" w:rsidR="004D6471" w:rsidRPr="007C6F41" w:rsidRDefault="004D6471" w:rsidP="00EF2457">
            <w:pPr>
              <w:spacing w:afterLines="0" w:after="0"/>
              <w:rPr>
                <w:rFonts w:cs="Times New Roman"/>
                <w:sz w:val="20"/>
                <w:szCs w:val="20"/>
              </w:rPr>
            </w:pPr>
          </w:p>
        </w:tc>
      </w:tr>
      <w:tr w:rsidR="00E4074A" w:rsidRPr="0076627F" w14:paraId="7D33E5E4" w14:textId="77777777" w:rsidTr="00964F25">
        <w:tc>
          <w:tcPr>
            <w:tcW w:w="5215" w:type="dxa"/>
            <w:vAlign w:val="center"/>
          </w:tcPr>
          <w:p w14:paraId="50571D0F" w14:textId="77777777" w:rsidR="00BE557F" w:rsidRDefault="00BE557F" w:rsidP="00EF2457">
            <w:pPr>
              <w:spacing w:afterLines="0" w:after="0"/>
              <w:rPr>
                <w:rFonts w:cs="Times New Roman"/>
                <w:sz w:val="20"/>
                <w:szCs w:val="20"/>
              </w:rPr>
            </w:pPr>
          </w:p>
          <w:p w14:paraId="3F5C6489" w14:textId="5BBA00A6" w:rsidR="00E4074A" w:rsidRPr="007C6F41" w:rsidRDefault="003439BB" w:rsidP="00EF2457">
            <w:pPr>
              <w:spacing w:afterLines="0" w:after="0"/>
              <w:rPr>
                <w:rFonts w:cs="Times New Roman"/>
                <w:sz w:val="20"/>
                <w:szCs w:val="20"/>
              </w:rPr>
            </w:pPr>
            <w:r>
              <w:rPr>
                <w:rFonts w:cs="Times New Roman"/>
                <w:sz w:val="20"/>
                <w:szCs w:val="20"/>
              </w:rPr>
              <w:t>Beaumont Tashjian ("Tashjian")</w:t>
            </w:r>
          </w:p>
        </w:tc>
        <w:tc>
          <w:tcPr>
            <w:tcW w:w="5490" w:type="dxa"/>
            <w:vAlign w:val="center"/>
          </w:tcPr>
          <w:p w14:paraId="435AD3C9" w14:textId="77777777" w:rsidR="00BE557F" w:rsidRDefault="00BE557F" w:rsidP="00EF2457">
            <w:pPr>
              <w:spacing w:afterLines="0" w:after="0"/>
              <w:rPr>
                <w:rFonts w:cs="Times New Roman"/>
                <w:sz w:val="20"/>
                <w:szCs w:val="20"/>
              </w:rPr>
            </w:pPr>
          </w:p>
          <w:p w14:paraId="6408FC93" w14:textId="2B8B5163" w:rsidR="00BE557F" w:rsidRPr="007C6F41" w:rsidRDefault="003439BB" w:rsidP="00EF2457">
            <w:pPr>
              <w:spacing w:afterLines="0" w:after="0"/>
              <w:rPr>
                <w:rFonts w:cs="Times New Roman"/>
                <w:sz w:val="20"/>
                <w:szCs w:val="20"/>
              </w:rPr>
            </w:pPr>
            <w:r>
              <w:rPr>
                <w:rFonts w:cs="Times New Roman"/>
                <w:sz w:val="20"/>
                <w:szCs w:val="20"/>
              </w:rPr>
              <w:t>Legal counsel</w:t>
            </w:r>
          </w:p>
          <w:p w14:paraId="5689BD66" w14:textId="284E1E8A" w:rsidR="004D6471" w:rsidRPr="007C6F41" w:rsidRDefault="004D6471" w:rsidP="00EF2457">
            <w:pPr>
              <w:spacing w:afterLines="0" w:after="0"/>
              <w:rPr>
                <w:rFonts w:cs="Times New Roman"/>
                <w:sz w:val="20"/>
                <w:szCs w:val="20"/>
              </w:rPr>
            </w:pPr>
          </w:p>
        </w:tc>
      </w:tr>
    </w:tbl>
    <w:p w14:paraId="238C8892" w14:textId="790D98B6"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1BC8C939" w14:textId="77777777" w:rsidR="00EE31B6" w:rsidRDefault="00EE31B6" w:rsidP="00EE31B6">
      <w:pPr>
        <w:pStyle w:val="Line"/>
      </w:pPr>
      <w:r w:rsidRPr="00097C4E">
        <w:t>________________________________</w:t>
      </w:r>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70AFA15F" w14:textId="132AC2C4" w:rsidR="00CD069B" w:rsidRDefault="00CD069B" w:rsidP="00CD069B">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6B7BE2EA" w14:textId="63A56741" w:rsidR="0076752F" w:rsidRDefault="00D00717" w:rsidP="0038079C">
      <w:pPr>
        <w:pStyle w:val="NormalEnd"/>
        <w:spacing w:after="264"/>
      </w:pPr>
      <w:r>
        <w:t>None at the moment.</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0731C418" w14:textId="7388D09C" w:rsidR="00075893" w:rsidRDefault="003439BB"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681FE6C" w14:textId="77777777" w:rsidR="003F0E15" w:rsidRDefault="009543BC"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Contract</w:t>
      </w:r>
    </w:p>
    <w:p w14:paraId="508198D9" w14:textId="77777777" w:rsidR="003F0E15" w:rsidRDefault="009543BC" w:rsidP="009543BC">
      <w:pPr>
        <w:spacing w:after="264"/>
        <w:rPr>
          <w:rFonts w:cs="Times New Roman"/>
          <w:bCs/>
          <w:szCs w:val="24"/>
        </w:rPr>
      </w:pPr>
      <w:r w:rsidRPr="00A6633C">
        <w:rPr>
          <w:rFonts w:cs="Times New Roman"/>
          <w:bCs/>
          <w:szCs w:val="24"/>
          <w:u w:val="single"/>
        </w:rPr>
        <w:t>Elements</w:t>
      </w:r>
      <w:r>
        <w:rPr>
          <w:rFonts w:cs="Times New Roman"/>
          <w:bCs/>
          <w:szCs w:val="24"/>
        </w:rPr>
        <w:t>—</w:t>
      </w:r>
      <w:r w:rsidR="00DC4D9E">
        <w:rPr>
          <w:rFonts w:cs="Times New Roman"/>
          <w:bCs/>
          <w:szCs w:val="24"/>
        </w:rPr>
        <w:t>Breach of Contract.</w:t>
      </w:r>
    </w:p>
    <w:p w14:paraId="01B0949C" w14:textId="77777777" w:rsidR="003F0E15" w:rsidRDefault="009543BC" w:rsidP="009543BC">
      <w:pPr>
        <w:spacing w:after="264"/>
        <w:ind w:left="1080" w:hanging="360"/>
        <w:rPr>
          <w:rFonts w:cs="Times New Roman"/>
          <w:bCs/>
          <w:szCs w:val="24"/>
        </w:rPr>
      </w:pPr>
      <w:r>
        <w:rPr>
          <w:rFonts w:cs="Times New Roman"/>
          <w:bCs/>
          <w:szCs w:val="24"/>
        </w:rPr>
        <w:t xml:space="preserve">—  </w:t>
      </w:r>
      <w:r w:rsidR="004C0866">
        <w:rPr>
          <w:rFonts w:cs="Times New Roman"/>
          <w:bCs/>
          <w:szCs w:val="24"/>
        </w:rPr>
        <w:t xml:space="preserve">To prevail on a claim for breach of contract (express or implied), the plaintiff must prove: (i) the existence of a contract; (ii) </w:t>
      </w:r>
      <w:r w:rsidR="00872838" w:rsidRPr="00872838">
        <w:rPr>
          <w:rFonts w:cs="Times New Roman"/>
          <w:bCs/>
          <w:szCs w:val="24"/>
        </w:rPr>
        <w:t>plaintiff</w:t>
      </w:r>
      <w:r w:rsidR="00872838">
        <w:rPr>
          <w:rFonts w:cs="Times New Roman"/>
          <w:bCs/>
          <w:szCs w:val="24"/>
        </w:rPr>
        <w:t>’s</w:t>
      </w:r>
      <w:r w:rsidR="00872838" w:rsidRPr="00872838">
        <w:rPr>
          <w:rFonts w:cs="Times New Roman"/>
          <w:bCs/>
          <w:szCs w:val="24"/>
        </w:rPr>
        <w:t xml:space="preserve"> performance or excuse for non</w:t>
      </w:r>
      <w:r w:rsidR="00872838">
        <w:rPr>
          <w:rFonts w:cs="Times New Roman"/>
          <w:bCs/>
          <w:szCs w:val="24"/>
        </w:rPr>
        <w:t>-</w:t>
      </w:r>
      <w:r w:rsidR="00872838" w:rsidRPr="00872838">
        <w:rPr>
          <w:rFonts w:cs="Times New Roman"/>
          <w:bCs/>
          <w:szCs w:val="24"/>
        </w:rPr>
        <w:t>performance</w:t>
      </w:r>
      <w:r w:rsidR="004C0866">
        <w:rPr>
          <w:rFonts w:cs="Times New Roman"/>
          <w:bCs/>
          <w:szCs w:val="24"/>
        </w:rPr>
        <w:t xml:space="preserve">; (iii) </w:t>
      </w:r>
      <w:r w:rsidR="00872838" w:rsidRPr="00872838">
        <w:rPr>
          <w:rFonts w:cs="Times New Roman"/>
          <w:bCs/>
          <w:szCs w:val="24"/>
        </w:rPr>
        <w:t>defendant</w:t>
      </w:r>
      <w:r w:rsidR="00872838">
        <w:rPr>
          <w:rFonts w:cs="Times New Roman"/>
          <w:bCs/>
          <w:szCs w:val="24"/>
        </w:rPr>
        <w:t>’s</w:t>
      </w:r>
      <w:r w:rsidR="00872838" w:rsidRPr="00872838">
        <w:rPr>
          <w:rFonts w:cs="Times New Roman"/>
          <w:bCs/>
          <w:szCs w:val="24"/>
        </w:rPr>
        <w:t xml:space="preserve"> breach</w:t>
      </w:r>
      <w:r w:rsidR="004C0866">
        <w:rPr>
          <w:rFonts w:cs="Times New Roman"/>
          <w:bCs/>
          <w:szCs w:val="24"/>
        </w:rPr>
        <w:t xml:space="preserve">; and (iv) the </w:t>
      </w:r>
      <w:r w:rsidR="00872838" w:rsidRPr="00872838">
        <w:rPr>
          <w:rFonts w:cs="Times New Roman"/>
          <w:bCs/>
          <w:szCs w:val="24"/>
        </w:rPr>
        <w:t>resulting damages to plaintiff. (</w:t>
      </w:r>
      <w:proofErr w:type="spellStart"/>
      <w:r w:rsidR="00872838" w:rsidRPr="00872838">
        <w:rPr>
          <w:rFonts w:cs="Times New Roman"/>
          <w:bCs/>
          <w:i/>
          <w:iCs/>
          <w:szCs w:val="24"/>
        </w:rPr>
        <w:t>Darbun</w:t>
      </w:r>
      <w:proofErr w:type="spellEnd"/>
      <w:r w:rsidR="00872838" w:rsidRPr="00872838">
        <w:rPr>
          <w:rFonts w:cs="Times New Roman"/>
          <w:bCs/>
          <w:i/>
          <w:iCs/>
          <w:szCs w:val="24"/>
        </w:rPr>
        <w:t xml:space="preserve"> Enterprises Inc. v. San Fernando Community Hosp.</w:t>
      </w:r>
      <w:r w:rsidR="00872838" w:rsidRPr="00872838">
        <w:rPr>
          <w:rFonts w:cs="Times New Roman"/>
          <w:bCs/>
          <w:szCs w:val="24"/>
        </w:rPr>
        <w:t xml:space="preserve"> (2015) 239 Cal.App.4th 399, 409</w:t>
      </w:r>
      <w:r w:rsidR="00872838">
        <w:rPr>
          <w:rFonts w:cs="Times New Roman"/>
          <w:bCs/>
          <w:szCs w:val="24"/>
        </w:rPr>
        <w:t xml:space="preserve">; </w:t>
      </w:r>
      <w:r w:rsidR="00872838" w:rsidRPr="00872838">
        <w:rPr>
          <w:rFonts w:cs="Times New Roman"/>
          <w:bCs/>
          <w:i/>
          <w:iCs/>
          <w:szCs w:val="24"/>
        </w:rPr>
        <w:t>San Mateo Union High School Dist. v. County of San Mateo</w:t>
      </w:r>
      <w:r w:rsidR="00872838" w:rsidRPr="00872838">
        <w:rPr>
          <w:rFonts w:cs="Times New Roman"/>
          <w:bCs/>
          <w:szCs w:val="24"/>
        </w:rPr>
        <w:t xml:space="preserve"> (2013) 213 Cal.App.4th 418, 439.)</w:t>
      </w:r>
    </w:p>
    <w:p w14:paraId="6D534F65" w14:textId="77777777" w:rsidR="003F0E15"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65333D5B" w14:textId="77777777" w:rsidR="003F0E15" w:rsidRDefault="00C9580D" w:rsidP="00C9580D">
      <w:pPr>
        <w:spacing w:after="264"/>
        <w:ind w:left="1080" w:hanging="360"/>
        <w:rPr>
          <w:rFonts w:cs="Times New Roman"/>
          <w:bCs/>
          <w:szCs w:val="24"/>
        </w:rPr>
      </w:pPr>
      <w:r>
        <w:rPr>
          <w:rFonts w:cs="Times New Roman"/>
          <w:bCs/>
          <w:szCs w:val="24"/>
        </w:rPr>
        <w:t xml:space="preserve">—  </w:t>
      </w:r>
      <w:r w:rsidR="00905151" w:rsidRPr="00905151">
        <w:rPr>
          <w:rFonts w:cs="Times New Roman"/>
          <w:bCs/>
          <w:szCs w:val="24"/>
        </w:rPr>
        <w:t xml:space="preserve">Compensatory (money) damages are available for all expected harm caused by the breach. (Civ. Code, § 3300.) In other words, damages must be reasonably foreseeable. (Civ. Code, § 3300; </w:t>
      </w:r>
      <w:r w:rsidR="00905151" w:rsidRPr="00905151">
        <w:rPr>
          <w:rFonts w:cs="Times New Roman"/>
          <w:bCs/>
          <w:i/>
          <w:iCs/>
          <w:szCs w:val="24"/>
        </w:rPr>
        <w:t>Erlich v. Menezes</w:t>
      </w:r>
      <w:r w:rsidR="00905151" w:rsidRPr="00905151">
        <w:rPr>
          <w:rFonts w:cs="Times New Roman"/>
          <w:bCs/>
          <w:szCs w:val="24"/>
        </w:rPr>
        <w:t xml:space="preserve"> (1999) 21 Cal.4th 543.)</w:t>
      </w:r>
    </w:p>
    <w:p w14:paraId="3373A0F0"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Emotional distress damages are generally </w:t>
      </w:r>
      <w:r w:rsidRPr="00905151">
        <w:rPr>
          <w:rFonts w:cs="Times New Roman"/>
          <w:bCs/>
          <w:i/>
          <w:iCs/>
          <w:szCs w:val="24"/>
        </w:rPr>
        <w:t>not</w:t>
      </w:r>
      <w:r w:rsidRPr="00905151">
        <w:rPr>
          <w:rFonts w:cs="Times New Roman"/>
          <w:bCs/>
          <w:szCs w:val="24"/>
        </w:rPr>
        <w:t xml:space="preserve"> available </w:t>
      </w:r>
      <w:r w:rsidRPr="00905151">
        <w:rPr>
          <w:rFonts w:cs="Times New Roman"/>
          <w:bCs/>
          <w:i/>
          <w:iCs/>
          <w:szCs w:val="24"/>
        </w:rPr>
        <w:t>unless</w:t>
      </w:r>
      <w:r w:rsidRPr="00905151">
        <w:rPr>
          <w:rFonts w:cs="Times New Roman"/>
          <w:bCs/>
          <w:szCs w:val="24"/>
        </w:rPr>
        <w:t xml:space="preserve"> the breach caused bodily harm or a serious emotional disturbance was a particularly likely result. </w:t>
      </w:r>
      <w:r>
        <w:rPr>
          <w:rFonts w:cs="Times New Roman"/>
          <w:bCs/>
          <w:szCs w:val="24"/>
        </w:rPr>
        <w:t>(</w:t>
      </w:r>
      <w:r w:rsidRPr="00905151">
        <w:rPr>
          <w:rFonts w:cs="Times New Roman"/>
          <w:bCs/>
          <w:i/>
          <w:iCs/>
          <w:szCs w:val="24"/>
        </w:rPr>
        <w:t xml:space="preserve">Erlich v. </w:t>
      </w:r>
      <w:proofErr w:type="spellStart"/>
      <w:r w:rsidRPr="00905151">
        <w:rPr>
          <w:rFonts w:cs="Times New Roman"/>
          <w:bCs/>
          <w:i/>
          <w:iCs/>
          <w:szCs w:val="24"/>
        </w:rPr>
        <w:t>Menezes</w:t>
      </w:r>
      <w:r>
        <w:rPr>
          <w:rFonts w:cs="Times New Roman"/>
          <w:bCs/>
          <w:i/>
          <w:iCs/>
          <w:szCs w:val="24"/>
        </w:rPr>
        <w:t>m</w:t>
      </w:r>
      <w:proofErr w:type="spellEnd"/>
      <w:r>
        <w:rPr>
          <w:rFonts w:cs="Times New Roman"/>
          <w:bCs/>
          <w:i/>
          <w:iCs/>
          <w:szCs w:val="24"/>
        </w:rPr>
        <w:t xml:space="preserve">, supra, </w:t>
      </w:r>
      <w:r>
        <w:rPr>
          <w:rFonts w:cs="Times New Roman"/>
          <w:bCs/>
          <w:szCs w:val="24"/>
        </w:rPr>
        <w:t>21</w:t>
      </w:r>
      <w:r w:rsidRPr="00905151">
        <w:rPr>
          <w:rFonts w:cs="Times New Roman"/>
          <w:bCs/>
          <w:szCs w:val="24"/>
        </w:rPr>
        <w:t xml:space="preserve"> Cal.4th  at 558; </w:t>
      </w:r>
      <w:r w:rsidRPr="00905151">
        <w:rPr>
          <w:rFonts w:cs="Times New Roman"/>
          <w:bCs/>
          <w:i/>
          <w:iCs/>
          <w:szCs w:val="24"/>
        </w:rPr>
        <w:t xml:space="preserve">Plotnik v. </w:t>
      </w:r>
      <w:proofErr w:type="spellStart"/>
      <w:r w:rsidRPr="00905151">
        <w:rPr>
          <w:rFonts w:cs="Times New Roman"/>
          <w:bCs/>
          <w:i/>
          <w:iCs/>
          <w:szCs w:val="24"/>
        </w:rPr>
        <w:t>Meihous</w:t>
      </w:r>
      <w:proofErr w:type="spellEnd"/>
      <w:r w:rsidRPr="00905151">
        <w:rPr>
          <w:rFonts w:cs="Times New Roman"/>
          <w:bCs/>
          <w:szCs w:val="24"/>
        </w:rPr>
        <w:t xml:space="preserve"> (2012) 208 Cal.App.4th 1950 [breach of settlement agreement by hitting dog with baseball bat].)</w:t>
      </w:r>
    </w:p>
    <w:p w14:paraId="5A48D2CA"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Specific performance is an available remedy for breach if the non-breaching party desires to affirm the contract. (Civ. Code, § 1680; </w:t>
      </w:r>
      <w:r w:rsidRPr="00905151">
        <w:rPr>
          <w:rFonts w:cs="Times New Roman"/>
          <w:bCs/>
          <w:i/>
          <w:iCs/>
          <w:szCs w:val="24"/>
        </w:rPr>
        <w:t>Kassir v. Zahabi</w:t>
      </w:r>
      <w:r w:rsidRPr="00905151">
        <w:rPr>
          <w:rFonts w:cs="Times New Roman"/>
          <w:bCs/>
          <w:szCs w:val="24"/>
        </w:rPr>
        <w:t xml:space="preserve"> (2008) 164 Cal.App.4th 1352.)</w:t>
      </w:r>
    </w:p>
    <w:p w14:paraId="33C18AB1"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Rescission (accompanied by restitution) is available in certain circumstances. (Civ. Code, § 1692.) Mutual rescission is available if all parties consent. (Civ. Code, § 1689(a).) Unilateral rescission is available by statute for mistake, fraud, duress, undue influence, failure of or void consideration, or if the contract is unlawful or against public policy. (Civ. Code, § 1689(b).)</w:t>
      </w:r>
    </w:p>
    <w:p w14:paraId="4ADF431D" w14:textId="77777777" w:rsidR="003F0E15" w:rsidRDefault="00482376" w:rsidP="00C9580D">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19ED6983" w14:textId="77777777" w:rsidR="003F0E15" w:rsidRDefault="009543BC" w:rsidP="009543BC">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F35835C" w14:textId="77777777" w:rsidR="003F0E15" w:rsidRDefault="009543BC" w:rsidP="009543BC">
      <w:pPr>
        <w:spacing w:after="264"/>
        <w:ind w:left="1080" w:hanging="360"/>
        <w:rPr>
          <w:rFonts w:cs="Times New Roman"/>
          <w:bCs/>
          <w:szCs w:val="24"/>
        </w:rPr>
      </w:pPr>
      <w:r>
        <w:rPr>
          <w:rFonts w:cs="Times New Roman"/>
          <w:bCs/>
          <w:szCs w:val="24"/>
        </w:rPr>
        <w:t xml:space="preserve">—  </w:t>
      </w:r>
      <w:r w:rsidR="00CC2856">
        <w:rPr>
          <w:rFonts w:cs="Times New Roman"/>
          <w:bCs/>
          <w:szCs w:val="24"/>
        </w:rPr>
        <w:t>For breach of verbal contracts, the statute of limitations is two years. (Code Civ. Proc., § 339.)</w:t>
      </w:r>
    </w:p>
    <w:p w14:paraId="47E4ABAF" w14:textId="77777777" w:rsidR="003F0E15" w:rsidRDefault="00CC2856" w:rsidP="009543BC">
      <w:pPr>
        <w:spacing w:after="264"/>
        <w:ind w:left="1080" w:hanging="360"/>
        <w:rPr>
          <w:rFonts w:cs="Times New Roman"/>
          <w:bCs/>
          <w:szCs w:val="24"/>
        </w:rPr>
      </w:pPr>
      <w:r>
        <w:rPr>
          <w:rFonts w:cs="Times New Roman"/>
          <w:bCs/>
          <w:szCs w:val="24"/>
        </w:rPr>
        <w:t xml:space="preserve">—  For breach of </w:t>
      </w:r>
      <w:r>
        <w:rPr>
          <w:rFonts w:cs="Times New Roman"/>
          <w:bCs/>
          <w:i/>
          <w:iCs/>
          <w:szCs w:val="24"/>
        </w:rPr>
        <w:t>most</w:t>
      </w:r>
      <w:r>
        <w:rPr>
          <w:rFonts w:cs="Times New Roman"/>
          <w:bCs/>
          <w:szCs w:val="24"/>
        </w:rPr>
        <w:t xml:space="preserve"> written contracts, the statute of limitations is four years. </w:t>
      </w:r>
      <w:r w:rsidRPr="00CC2856">
        <w:rPr>
          <w:rFonts w:cs="Times New Roman"/>
          <w:bCs/>
          <w:szCs w:val="24"/>
        </w:rPr>
        <w:t>(Code Civ. Proc.</w:t>
      </w:r>
      <w:r>
        <w:rPr>
          <w:rFonts w:cs="Times New Roman"/>
          <w:bCs/>
          <w:szCs w:val="24"/>
        </w:rPr>
        <w:t>,</w:t>
      </w:r>
      <w:r w:rsidRPr="00CC2856">
        <w:rPr>
          <w:rFonts w:cs="Times New Roman"/>
          <w:bCs/>
          <w:szCs w:val="24"/>
        </w:rPr>
        <w:t xml:space="preserve"> § 337</w:t>
      </w:r>
      <w:r w:rsidR="00121BE4">
        <w:rPr>
          <w:rFonts w:cs="Times New Roman"/>
          <w:bCs/>
          <w:szCs w:val="24"/>
        </w:rPr>
        <w:t>.</w:t>
      </w:r>
      <w:r w:rsidRPr="00CC2856">
        <w:rPr>
          <w:rFonts w:cs="Times New Roman"/>
          <w:bCs/>
          <w:szCs w:val="24"/>
        </w:rPr>
        <w:t>)</w:t>
      </w:r>
    </w:p>
    <w:p w14:paraId="1F3A7190" w14:textId="77777777" w:rsidR="003F0E15" w:rsidRDefault="00F77671" w:rsidP="009543BC">
      <w:pPr>
        <w:spacing w:after="264"/>
        <w:ind w:left="1080" w:hanging="360"/>
        <w:rPr>
          <w:rFonts w:cs="Times New Roman"/>
          <w:bCs/>
          <w:szCs w:val="24"/>
          <w:u w:val="single"/>
        </w:rPr>
      </w:pPr>
      <w:r>
        <w:rPr>
          <w:rFonts w:cs="Times New Roman"/>
          <w:bCs/>
          <w:szCs w:val="24"/>
        </w:rPr>
        <w:t xml:space="preserve">—  </w:t>
      </w:r>
      <w:r w:rsidR="00CC2856">
        <w:rPr>
          <w:rFonts w:cs="Times New Roman"/>
          <w:bCs/>
          <w:szCs w:val="24"/>
        </w:rPr>
        <w:t xml:space="preserve">For breach of </w:t>
      </w:r>
      <w:r w:rsidR="00CC2856">
        <w:rPr>
          <w:rFonts w:cs="Times New Roman"/>
          <w:bCs/>
          <w:i/>
          <w:iCs/>
          <w:szCs w:val="24"/>
        </w:rPr>
        <w:t>negotiable instruments</w:t>
      </w:r>
      <w:r w:rsidR="00CC2856">
        <w:rPr>
          <w:rFonts w:cs="Times New Roman"/>
          <w:bCs/>
          <w:szCs w:val="24"/>
        </w:rPr>
        <w:t xml:space="preserve"> (e.g., promissory notes), the statute of limitations is six years. </w:t>
      </w:r>
      <w:r w:rsidR="00CC2856" w:rsidRPr="00CC2856">
        <w:rPr>
          <w:rFonts w:cs="Times New Roman"/>
          <w:bCs/>
          <w:szCs w:val="24"/>
        </w:rPr>
        <w:t>(</w:t>
      </w:r>
      <w:r w:rsidR="00CC2856">
        <w:rPr>
          <w:rFonts w:cs="Times New Roman"/>
          <w:bCs/>
          <w:szCs w:val="24"/>
        </w:rPr>
        <w:t>Comm. Code, § 3118.</w:t>
      </w:r>
      <w:r w:rsidR="00CC2856" w:rsidRPr="00CC2856">
        <w:rPr>
          <w:rFonts w:cs="Times New Roman"/>
          <w:bCs/>
          <w:szCs w:val="24"/>
        </w:rPr>
        <w:t>)</w:t>
      </w:r>
    </w:p>
    <w:p w14:paraId="0ABFC9C9" w14:textId="77777777" w:rsidR="003F0E15" w:rsidRDefault="009543BC" w:rsidP="009543BC">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542D10CC"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3BD63F3D" w14:textId="77777777" w:rsidR="003F0E15" w:rsidRDefault="009543BC" w:rsidP="009543BC">
      <w:pPr>
        <w:spacing w:after="264"/>
        <w:ind w:left="1080" w:hanging="360"/>
        <w:rPr>
          <w:rFonts w:cs="Times New Roman"/>
          <w:bCs/>
          <w:szCs w:val="24"/>
          <w:highlight w:val="green"/>
        </w:rPr>
      </w:pPr>
      <w:r w:rsidRPr="002D206C">
        <w:rPr>
          <w:rFonts w:cs="Times New Roman"/>
          <w:bCs/>
          <w:szCs w:val="24"/>
          <w:highlight w:val="green"/>
        </w:rPr>
        <w:t>—  ***</w:t>
      </w:r>
    </w:p>
    <w:p w14:paraId="5CA123E1" w14:textId="77777777" w:rsidR="003F0E15" w:rsidRDefault="009543BC" w:rsidP="009543BC">
      <w:pPr>
        <w:spacing w:after="264"/>
        <w:ind w:left="1080" w:hanging="360"/>
        <w:rPr>
          <w:rFonts w:cs="Times New Roman"/>
          <w:bCs/>
          <w:szCs w:val="24"/>
        </w:rPr>
      </w:pPr>
      <w:r w:rsidRPr="002D206C">
        <w:rPr>
          <w:rFonts w:cs="Times New Roman"/>
          <w:bCs/>
          <w:szCs w:val="24"/>
          <w:highlight w:val="green"/>
        </w:rPr>
        <w:t>—  ***</w:t>
      </w:r>
    </w:p>
    <w:p w14:paraId="366A3F59" w14:textId="77777777" w:rsidR="003F0E15" w:rsidRDefault="009543BC" w:rsidP="009543BC">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2D5BECA2"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3FADB18" w14:textId="3A91DDBE"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6CF9D9A" w14:textId="77777777" w:rsidR="003F0E15" w:rsidRDefault="00E50C84" w:rsidP="00E13C80">
      <w:pPr>
        <w:pStyle w:val="Heading2"/>
        <w:spacing w:after="264"/>
        <w:rPr>
          <w:sz w:val="24"/>
          <w:szCs w:val="24"/>
        </w:rPr>
      </w:pPr>
      <w:r w:rsidRPr="00B5197D">
        <w:lastRenderedPageBreak/>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7A87F42E" w14:textId="77777777"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37C630" w14:textId="4CAF7DC0"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844A719" w14:textId="77777777" w:rsidR="003F0E15" w:rsidRDefault="00D129F9"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bookmarkStart w:id="13" w:name="_Hlk41032600"/>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lastRenderedPageBreak/>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2B13E5CF"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CD7D376" w14:textId="3563F91C"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lastRenderedPageBreak/>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Nuisance is based on a property’s owner’s use of his or her own property in a way that adversely affects other property owners. Typical examples of a nuisance include things like 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lastRenderedPageBreak/>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6C78C21"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8EF4042" w14:textId="305778C6"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Article XIII, Section 5</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2C6E26E9" w14:textId="6E7C77D1" w:rsidR="005708BA" w:rsidRDefault="005708BA" w:rsidP="005708BA">
      <w:pPr>
        <w:pStyle w:val="Heading2"/>
        <w:spacing w:after="264"/>
      </w:pPr>
      <w:r w:rsidRPr="00274E8F">
        <w:fldChar w:fldCharType="begin"/>
      </w:r>
      <w:r w:rsidRPr="00274E8F">
        <w:instrText xml:space="preserve"> LISTNUM LegalDefault \l 2 </w:instrText>
      </w:r>
      <w:r w:rsidRPr="00274E8F">
        <w:fldChar w:fldCharType="end"/>
      </w:r>
      <w:r>
        <w:br/>
      </w:r>
      <w:r>
        <w:t>Statute of Limitations</w:t>
      </w:r>
    </w:p>
    <w:p w14:paraId="5AB5BB99" w14:textId="5F779BC9" w:rsidR="005708BA" w:rsidRPr="003A4D9E" w:rsidRDefault="005708BA" w:rsidP="005708BA">
      <w:pPr>
        <w:spacing w:after="264"/>
      </w:pPr>
      <w:r>
        <w:t xml:space="preserve">This section is </w:t>
      </w:r>
      <w:r>
        <w:rPr>
          <w:i/>
          <w:iCs/>
        </w:rPr>
        <w:t>not</w:t>
      </w:r>
      <w:r>
        <w:t xml:space="preserve"> intended to address whether or not the statute of limitations has run on a particular cause of action that might have otherwise been relevant under the facts. Those specifics can be found in reference to each of the potential causes of action discussed above. This section of the </w:t>
      </w:r>
      <w:r>
        <w:t>Preliminary Analysis</w:t>
      </w:r>
      <w:r>
        <w:t xml:space="preserve"> is intended only to highlight the earliest statute of limitations of a </w:t>
      </w:r>
      <w:r>
        <w:t>potential cause of action t</w:t>
      </w:r>
      <w:r>
        <w:t>hat remains available to Client.</w:t>
      </w:r>
    </w:p>
    <w:p w14:paraId="21354F8F" w14:textId="08EAB3BA" w:rsidR="005708BA" w:rsidRPr="00DC78A7" w:rsidRDefault="005708BA" w:rsidP="005708BA">
      <w:pPr>
        <w:pStyle w:val="NormalEnd"/>
        <w:spacing w:after="264"/>
      </w:pPr>
      <w:r>
        <w:t xml:space="preserve">If Client wants to file a lawsuit containing the applicable the causes of action discussed above, the action must be filed on or before </w:t>
      </w:r>
      <w:r>
        <w:rPr>
          <w:rFonts w:cs="Times New Roman"/>
          <w:b/>
          <w:bCs/>
          <w:color w:val="C00000"/>
          <w:szCs w:val="24"/>
          <w:u w:val="single"/>
        </w:rPr>
        <w:t/>
      </w:r>
      <w:r>
        <w:t xml:space="preserve"> (the </w:t>
      </w:r>
      <w:r>
        <w:rPr>
          <w:i/>
          <w:iCs/>
        </w:rPr>
        <w:t>earliest</w:t>
      </w:r>
      <w:r>
        <w:t xml:space="preserve"> of the applicable non-expired statutes of limitations deadlines given the desired causes of action).</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3A127D92" w:rsidR="003F0E15" w:rsidRDefault="00ED6677" w:rsidP="0059538A">
      <w:pPr>
        <w:pStyle w:val="Heading1"/>
        <w:spacing w:after="264"/>
      </w:pPr>
      <w:r w:rsidRPr="00274E8F">
        <w:fldChar w:fldCharType="begin"/>
      </w:r>
      <w:r w:rsidR="005708BA">
        <w:instrText xml:space="preserve"> LISTNUM LegalDefault \l 1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3439BB"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Default="005052D7" w:rsidP="00EF2F63">
      <w:pPr>
        <w:pStyle w:val="Line"/>
      </w:pPr>
      <w:r w:rsidRPr="005C5314">
        <w:lastRenderedPageBreak/>
        <w:t>________________________________</w:t>
      </w:r>
    </w:p>
    <w:p w14:paraId="49594AFB" w14:textId="1F85E84D" w:rsidR="00D71613" w:rsidRDefault="00D71613" w:rsidP="00D71613">
      <w:pPr>
        <w:pStyle w:val="Heading1"/>
        <w:spacing w:after="264"/>
      </w:pPr>
      <w:r w:rsidRPr="00274E8F">
        <w:fldChar w:fldCharType="begin"/>
      </w:r>
      <w:r w:rsidR="005708BA">
        <w:instrText xml:space="preserve"> LISTNUM LegalDefault \l 1 </w:instrText>
      </w:r>
      <w:r w:rsidRPr="00274E8F">
        <w:fldChar w:fldCharType="end"/>
      </w:r>
      <w:r>
        <w:br/>
        <w:t>NOTE TO CLIENT</w:t>
      </w:r>
    </w:p>
    <w:p w14:paraId="019E634B" w14:textId="2B8861FC" w:rsidR="00D71613" w:rsidRDefault="00D71613" w:rsidP="00D71613">
      <w:pPr>
        <w:spacing w:after="264"/>
        <w:rPr>
          <w:rFonts w:cs="Times New Roman"/>
          <w:bCs/>
          <w:szCs w:val="24"/>
        </w:rPr>
      </w:pPr>
      <w:r>
        <w:rPr>
          <w:rFonts w:cs="Times New Roman"/>
          <w:bCs/>
          <w:szCs w:val="24"/>
        </w:rPr>
        <w:t xml:space="preserve">When it comes to the analysis, conclusions, and opinions expressed in this Preliminary Analysis, please keep the following in mind: </w:t>
      </w:r>
    </w:p>
    <w:p w14:paraId="4E68F412" w14:textId="77777777" w:rsidR="00AD4AB6" w:rsidRDefault="00D71613"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 xml:space="preserve">We prepared the entirety of this Preliminary Analysis within the context of your </w:t>
      </w:r>
      <w:r w:rsidR="00056D71">
        <w:rPr>
          <w:rFonts w:cs="Times New Roman"/>
          <w:bCs/>
          <w:i/>
          <w:iCs/>
          <w:szCs w:val="24"/>
        </w:rPr>
        <w:t>pre-litigation</w:t>
      </w:r>
      <w:r w:rsidR="00056D71">
        <w:rPr>
          <w:rFonts w:cs="Times New Roman"/>
          <w:bCs/>
          <w:szCs w:val="24"/>
        </w:rPr>
        <w:t xml:space="preserve"> case (i.e., as part of our walking you through the ADR process). </w:t>
      </w:r>
      <w:r w:rsidR="00056D71">
        <w:rPr>
          <w:rFonts w:cs="Times New Roman"/>
          <w:bCs/>
          <w:i/>
          <w:iCs/>
          <w:szCs w:val="24"/>
        </w:rPr>
        <w:t>Nothing in this Preliminary Analysis, therefore, should be understood by you to be a reflection or statement of opinion regarding what your case might look like under a litigation-focused lens.</w:t>
      </w:r>
      <w:r w:rsidR="00056D71">
        <w:rPr>
          <w:rFonts w:cs="Times New Roman"/>
          <w:bCs/>
          <w:szCs w:val="24"/>
        </w:rPr>
        <w:t xml:space="preserve"> </w:t>
      </w:r>
    </w:p>
    <w:p w14:paraId="6346D156" w14:textId="2ACE63C0" w:rsidR="00D71613"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Cases that make excellent pre-litigation cases don’t </w:t>
      </w:r>
      <w:r w:rsidR="00186916">
        <w:rPr>
          <w:rFonts w:cs="Times New Roman"/>
          <w:bCs/>
          <w:szCs w:val="24"/>
        </w:rPr>
        <w:t>necessarily make</w:t>
      </w:r>
      <w:r>
        <w:rPr>
          <w:rFonts w:cs="Times New Roman"/>
          <w:bCs/>
          <w:szCs w:val="24"/>
        </w:rPr>
        <w:t xml:space="preserve"> good litigation cases. </w:t>
      </w:r>
      <w:r w:rsidR="00186916">
        <w:rPr>
          <w:rFonts w:cs="Times New Roman"/>
          <w:bCs/>
          <w:szCs w:val="24"/>
        </w:rPr>
        <w:t xml:space="preserve">Not only are we often very successful at negotiating settlements during the ADR process notwithstanding the fact that our legal contentions might not be as strong as we may have indicated, but we’re often able to negotiate concessions during the ADR process that wouldn’t be available as remedies in litigation. </w:t>
      </w:r>
    </w:p>
    <w:p w14:paraId="17405133" w14:textId="429712F1" w:rsidR="00AD4AB6" w:rsidRPr="00056D71"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If you do not reach a satisfactory settlement during the ADR process, you will have an opportunity to meet with an attorney in our litigation department to discuss whether your case might make a good candidate for litigation.</w:t>
      </w:r>
    </w:p>
    <w:p w14:paraId="7A2CCE75" w14:textId="2E6F33CD" w:rsidR="00D71613" w:rsidRPr="00A805F9" w:rsidRDefault="00D71613" w:rsidP="00A805F9">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And if you end up retaining our firm to represent you in any litigation, the litigation team will conduct a far more comprehensive Litigation Analysis and Due Diligence (LADD)</w:t>
      </w:r>
      <w:r w:rsidR="00AD4AB6">
        <w:rPr>
          <w:rFonts w:cs="Times New Roman"/>
          <w:bCs/>
          <w:szCs w:val="24"/>
        </w:rPr>
        <w:t xml:space="preserve"> in which our litigators will </w:t>
      </w:r>
      <w:r w:rsidR="00056D71">
        <w:rPr>
          <w:rFonts w:cs="Times New Roman"/>
          <w:bCs/>
          <w:szCs w:val="24"/>
        </w:rPr>
        <w:t>analyze all of your potential claims and/or defenses, as well as a variety of other critical issues. It will be that LADD that will tell you whether you have viable causes of action and/or defenses within the context of a lawsuit (whether filed in court or as part of a binding arbitration).</w:t>
      </w:r>
    </w:p>
    <w:sectPr w:rsidR="00D71613" w:rsidRPr="00A805F9"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75A9" w14:textId="77777777" w:rsidR="003439BB" w:rsidRDefault="003439BB" w:rsidP="00123934">
      <w:pPr>
        <w:spacing w:after="264"/>
      </w:pPr>
      <w:r>
        <w:separator/>
      </w:r>
    </w:p>
  </w:endnote>
  <w:endnote w:type="continuationSeparator" w:id="0">
    <w:p w14:paraId="0D94A3F0" w14:textId="77777777" w:rsidR="003439BB" w:rsidRDefault="003439BB"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3439BB" w:rsidP="00BA614F">
          <w:pPr>
            <w:pStyle w:val="Footer"/>
            <w:spacing w:after="264"/>
            <w:jc w:val="right"/>
            <w:rPr>
              <w:rFonts w:cs="Times New Roman"/>
              <w:sz w:val="18"/>
              <w:szCs w:val="18"/>
            </w:rPr>
          </w:pPr>
          <w:r>
            <w:rPr>
              <w:rFonts w:cs="Times New Roman"/>
              <w:sz w:val="18"/>
              <w:szCs w:val="18"/>
            </w:rPr>
            <w:t>Burt v. Mission Ridge HOA</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A6BE5" w14:textId="77777777" w:rsidR="003439BB" w:rsidRDefault="003439BB" w:rsidP="00123934">
      <w:pPr>
        <w:spacing w:after="264"/>
      </w:pPr>
      <w:r>
        <w:separator/>
      </w:r>
    </w:p>
  </w:footnote>
  <w:footnote w:type="continuationSeparator" w:id="0">
    <w:p w14:paraId="5C391383" w14:textId="77777777" w:rsidR="003439BB" w:rsidRDefault="003439BB"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6D7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6916"/>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2B3C"/>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9BB"/>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08BA"/>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555"/>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7CB"/>
    <w:rsid w:val="00797B83"/>
    <w:rsid w:val="007A1B9E"/>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81B"/>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A7016"/>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6DF5"/>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5F9"/>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4AB6"/>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5D37"/>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1613"/>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B5525"/>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2D7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
      <w:docPartPr>
        <w:name w:val="C01C59B49245473B8A4B8616E4FCA54B"/>
        <w:category>
          <w:name w:val="General"/>
          <w:gallery w:val="placeholder"/>
        </w:category>
        <w:types>
          <w:type w:val="bbPlcHdr"/>
        </w:types>
        <w:behaviors>
          <w:behavior w:val="content"/>
        </w:behaviors>
        <w:guid w:val="{A5322F0D-1C37-47AC-A574-188F20BAF543}"/>
      </w:docPartPr>
      <w:docPartBody>
        <w:p w:rsidR="006C2DEB" w:rsidRDefault="00262A90" w:rsidP="00262A90">
          <w:pPr>
            <w:pStyle w:val="C01C59B49245473B8A4B8616E4FCA54B"/>
          </w:pPr>
          <w:r w:rsidRPr="00404A3B">
            <w:rPr>
              <w:rStyle w:val="PlaceholderText"/>
            </w:rPr>
            <w:t>Click or tap here to enter text.</w:t>
          </w:r>
        </w:p>
      </w:docPartBody>
    </w:docPart>
    <w:docPart>
      <w:docPartPr>
        <w:name w:val="20DB76ACF53E4240B898D98589176096"/>
        <w:category>
          <w:name w:val="General"/>
          <w:gallery w:val="placeholder"/>
        </w:category>
        <w:types>
          <w:type w:val="bbPlcHdr"/>
        </w:types>
        <w:behaviors>
          <w:behavior w:val="content"/>
        </w:behaviors>
        <w:guid w:val="{D74878CC-4CE6-4618-9A21-34FCF909162F}"/>
      </w:docPartPr>
      <w:docPartBody>
        <w:p w:rsidR="006C2DEB" w:rsidRDefault="00262A90" w:rsidP="00262A90">
          <w:pPr>
            <w:pStyle w:val="20DB76ACF53E4240B898D98589176096"/>
          </w:pPr>
          <w:r w:rsidRPr="00F722FF">
            <w:rPr>
              <w:rStyle w:val="PlaceholderText"/>
            </w:rPr>
            <w:t>Click or tap here to enter text.</w:t>
          </w:r>
        </w:p>
      </w:docPartBody>
    </w:docPart>
    <w:docPart>
      <w:docPartPr>
        <w:name w:val="55D8A824A8324D2EAD88529CDC0A24BF"/>
        <w:category>
          <w:name w:val="General"/>
          <w:gallery w:val="placeholder"/>
        </w:category>
        <w:types>
          <w:type w:val="bbPlcHdr"/>
        </w:types>
        <w:behaviors>
          <w:behavior w:val="content"/>
        </w:behaviors>
        <w:guid w:val="{C086C238-7FE0-4A6D-BDAB-E30E1171841D}"/>
      </w:docPartPr>
      <w:docPartBody>
        <w:p w:rsidR="006C2DEB" w:rsidRDefault="00262A90" w:rsidP="00262A90">
          <w:pPr>
            <w:pStyle w:val="55D8A824A8324D2EAD88529CDC0A24BF"/>
          </w:pPr>
          <w:r w:rsidRPr="000D4732">
            <w:rPr>
              <w:rStyle w:val="PlaceholderText"/>
            </w:rPr>
            <w:t>Click or tap here to enter text.</w:t>
          </w:r>
        </w:p>
      </w:docPartBody>
    </w:docPart>
    <w:docPart>
      <w:docPartPr>
        <w:name w:val="A9D7298D756E4C88A23062268F8C8406"/>
        <w:category>
          <w:name w:val="General"/>
          <w:gallery w:val="placeholder"/>
        </w:category>
        <w:types>
          <w:type w:val="bbPlcHdr"/>
        </w:types>
        <w:behaviors>
          <w:behavior w:val="content"/>
        </w:behaviors>
        <w:guid w:val="{34A79B50-8801-45E3-9517-1E7BACB54683}"/>
      </w:docPartPr>
      <w:docPartBody>
        <w:p w:rsidR="006C2DEB" w:rsidRDefault="00262A90" w:rsidP="00262A90">
          <w:pPr>
            <w:pStyle w:val="A9D7298D756E4C88A23062268F8C8406"/>
          </w:pPr>
          <w:r w:rsidRPr="00404A3B">
            <w:rPr>
              <w:rStyle w:val="PlaceholderText"/>
            </w:rPr>
            <w:t>Click or tap here to enter text.</w:t>
          </w:r>
        </w:p>
      </w:docPartBody>
    </w:docPart>
    <w:docPart>
      <w:docPartPr>
        <w:name w:val="15D05B430BCF4B689AB3ECF41EAD28AB"/>
        <w:category>
          <w:name w:val="General"/>
          <w:gallery w:val="placeholder"/>
        </w:category>
        <w:types>
          <w:type w:val="bbPlcHdr"/>
        </w:types>
        <w:behaviors>
          <w:behavior w:val="content"/>
        </w:behaviors>
        <w:guid w:val="{87DBC465-1DE8-4AFD-806C-1D43AD411FF7}"/>
      </w:docPartPr>
      <w:docPartBody>
        <w:p w:rsidR="006C2DEB" w:rsidRDefault="00262A90" w:rsidP="00262A90">
          <w:pPr>
            <w:pStyle w:val="15D05B430BCF4B689AB3ECF41EAD28AB"/>
          </w:pPr>
          <w:r w:rsidRPr="000D4732">
            <w:rPr>
              <w:rStyle w:val="PlaceholderText"/>
            </w:rPr>
            <w:t>Click or tap here to enter text.</w:t>
          </w:r>
        </w:p>
      </w:docPartBody>
    </w:docPart>
    <w:docPart>
      <w:docPartPr>
        <w:name w:val="24D04BFDEA5648C1B2D863FD10BD6E8A"/>
        <w:category>
          <w:name w:val="General"/>
          <w:gallery w:val="placeholder"/>
        </w:category>
        <w:types>
          <w:type w:val="bbPlcHdr"/>
        </w:types>
        <w:behaviors>
          <w:behavior w:val="content"/>
        </w:behaviors>
        <w:guid w:val="{69EDACFD-91EB-44B9-A8E6-32511C347AD3}"/>
      </w:docPartPr>
      <w:docPartBody>
        <w:p w:rsidR="006C2DEB" w:rsidRDefault="00262A90" w:rsidP="00262A90">
          <w:pPr>
            <w:pStyle w:val="24D04BFDEA5648C1B2D863FD10BD6E8A"/>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62A90"/>
    <w:rsid w:val="002A027D"/>
    <w:rsid w:val="002B68EA"/>
    <w:rsid w:val="002E6CDC"/>
    <w:rsid w:val="003115CF"/>
    <w:rsid w:val="00314140"/>
    <w:rsid w:val="00371F05"/>
    <w:rsid w:val="003A161E"/>
    <w:rsid w:val="003A6806"/>
    <w:rsid w:val="003B3233"/>
    <w:rsid w:val="003C22D2"/>
    <w:rsid w:val="003F7053"/>
    <w:rsid w:val="004174AD"/>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2DEB"/>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86DF5"/>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B1FFE"/>
    <w:rsid w:val="00BE5D01"/>
    <w:rsid w:val="00BF4E23"/>
    <w:rsid w:val="00BF5D37"/>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A90"/>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 w:type="paragraph" w:customStyle="1" w:styleId="C01C59B49245473B8A4B8616E4FCA54B">
    <w:name w:val="C01C59B49245473B8A4B8616E4FCA54B"/>
    <w:rsid w:val="00262A90"/>
    <w:pPr>
      <w:spacing w:line="278" w:lineRule="auto"/>
    </w:pPr>
    <w:rPr>
      <w:kern w:val="2"/>
      <w:sz w:val="24"/>
      <w:szCs w:val="24"/>
      <w14:ligatures w14:val="standardContextual"/>
    </w:rPr>
  </w:style>
  <w:style w:type="paragraph" w:customStyle="1" w:styleId="3707CB6FF4CC4784947B567BCC00477C">
    <w:name w:val="3707CB6FF4CC4784947B567BCC00477C"/>
    <w:rsid w:val="00262A90"/>
    <w:pPr>
      <w:spacing w:line="278" w:lineRule="auto"/>
    </w:pPr>
    <w:rPr>
      <w:kern w:val="2"/>
      <w:sz w:val="24"/>
      <w:szCs w:val="24"/>
      <w14:ligatures w14:val="standardContextual"/>
    </w:rPr>
  </w:style>
  <w:style w:type="paragraph" w:customStyle="1" w:styleId="20DB76ACF53E4240B898D98589176096">
    <w:name w:val="20DB76ACF53E4240B898D98589176096"/>
    <w:rsid w:val="00262A90"/>
    <w:pPr>
      <w:spacing w:line="278" w:lineRule="auto"/>
    </w:pPr>
    <w:rPr>
      <w:kern w:val="2"/>
      <w:sz w:val="24"/>
      <w:szCs w:val="24"/>
      <w14:ligatures w14:val="standardContextual"/>
    </w:rPr>
  </w:style>
  <w:style w:type="paragraph" w:customStyle="1" w:styleId="55D8A824A8324D2EAD88529CDC0A24BF">
    <w:name w:val="55D8A824A8324D2EAD88529CDC0A24BF"/>
    <w:rsid w:val="00262A90"/>
    <w:pPr>
      <w:spacing w:line="278" w:lineRule="auto"/>
    </w:pPr>
    <w:rPr>
      <w:kern w:val="2"/>
      <w:sz w:val="24"/>
      <w:szCs w:val="24"/>
      <w14:ligatures w14:val="standardContextual"/>
    </w:rPr>
  </w:style>
  <w:style w:type="paragraph" w:customStyle="1" w:styleId="A9D7298D756E4C88A23062268F8C8406">
    <w:name w:val="A9D7298D756E4C88A23062268F8C8406"/>
    <w:rsid w:val="00262A90"/>
    <w:pPr>
      <w:spacing w:line="278" w:lineRule="auto"/>
    </w:pPr>
    <w:rPr>
      <w:kern w:val="2"/>
      <w:sz w:val="24"/>
      <w:szCs w:val="24"/>
      <w14:ligatures w14:val="standardContextual"/>
    </w:rPr>
  </w:style>
  <w:style w:type="paragraph" w:customStyle="1" w:styleId="15D05B430BCF4B689AB3ECF41EAD28AB">
    <w:name w:val="15D05B430BCF4B689AB3ECF41EAD28AB"/>
    <w:rsid w:val="00262A90"/>
    <w:pPr>
      <w:spacing w:line="278" w:lineRule="auto"/>
    </w:pPr>
    <w:rPr>
      <w:kern w:val="2"/>
      <w:sz w:val="24"/>
      <w:szCs w:val="24"/>
      <w14:ligatures w14:val="standardContextual"/>
    </w:rPr>
  </w:style>
  <w:style w:type="paragraph" w:customStyle="1" w:styleId="24D04BFDEA5648C1B2D863FD10BD6E8A">
    <w:name w:val="24D04BFDEA5648C1B2D863FD10BD6E8A"/>
    <w:rsid w:val="00262A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115</Pages>
  <Words>31201</Words>
  <Characters>174107</Characters>
  <Application>Microsoft Office Word</Application>
  <DocSecurity>0</DocSecurity>
  <Lines>3224</Lines>
  <Paragraphs>1669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216</cp:revision>
  <cp:lastPrinted>2020-05-21T21:26:00Z</cp:lastPrinted>
  <dcterms:created xsi:type="dcterms:W3CDTF">2020-06-05T16:34:00Z</dcterms:created>
  <dcterms:modified xsi:type="dcterms:W3CDTF">2026-10-19T17:08:00Z</dcterms:modified>
</cp:coreProperties>
</file>