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Yao v. Villa Cornet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CF</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
          Client is a co-owner of the real property located at 356 Santana Road, San Jose, CA 95128 (the “Property”), which is situated within The Villa Cornet Condominium Owners Association (the “HOA”). 
          <w:br/>
          <w:br/>
          In 2022, Client reported water intrusion at the Property to the HOA. It was discovered that there was an issue with the French doors. The management company at the time indicated that it was in the process of obtaining a bid for the replacement of the French doors. Between 2022 and 2025, the property managers suggested to Client that they were actively working towards replacing the French doors. Management confirmed the board approved the bid and that the contractor needed to resubmit the information to the City of San Jose to obtain the required permit. 
          <w:br/>
          <w:br/>
          When nothing happened, Client retained the Firm. We sent a notice of representation to management. The HOA counsel responded and stated that the HOA never communicated to Client that it would replace the French doors at the HOA’s expense and that such work is Client’s sole responsibility. Client, reasonably frustrated that the HOA misled them for years, seek to push back and challenge the HOA’s change in position that they are responsible for the French doors.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276C41D3" w14:textId="77777777" w:rsidTr="001B2429">
        <w:trPr>
          <w:cantSplit/>
        </w:trPr>
        <w:tc>
          <w:tcPr>
            <w:tcW w:w="5215" w:type="dxa"/>
            <w:shd w:val="clear" w:color="auto" w:fill="B4C6E7" w:themeFill="accent1" w:themeFillTint="66"/>
          </w:tcPr>
          <w:p w14:paraId="6A328D71" w14:textId="77777777" w:rsidR="001B2429" w:rsidRPr="00BF20DA" w:rsidRDefault="001B2429" w:rsidP="009855CA">
            <w:pPr>
              <w:spacing w:afterLines="0" w:after="0"/>
              <w:rPr>
                <w:rFonts w:ascii="Times New Roman" w:hAnsi="Times New Roman" w:cs="Times New Roman"/>
                <w:b/>
              </w:rPr>
            </w:pPr>
          </w:p>
          <w:p w14:paraId="30691B11" w14:textId="68E5D483"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4B402E0C" w14:textId="77777777" w:rsidR="001B2429" w:rsidRPr="00BF20DA" w:rsidRDefault="001B2429" w:rsidP="009855CA">
            <w:pPr>
              <w:spacing w:afterLines="0" w:after="0"/>
              <w:rPr>
                <w:rFonts w:ascii="Times New Roman" w:hAnsi="Times New Roman" w:cs="Times New Roman"/>
                <w:b/>
              </w:rPr>
            </w:pPr>
          </w:p>
          <w:p w14:paraId="78335826"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64C9A92E" w14:textId="77777777" w:rsidR="001B2429" w:rsidRPr="00BF20DA" w:rsidRDefault="001B2429" w:rsidP="009855CA">
            <w:pPr>
              <w:spacing w:afterLines="0" w:after="0"/>
              <w:rPr>
                <w:rFonts w:ascii="Times New Roman" w:hAnsi="Times New Roman" w:cs="Times New Roman"/>
                <w:b/>
              </w:rPr>
            </w:pPr>
          </w:p>
        </w:tc>
      </w:tr>
      <w:tr w:rsidR="00246DB4" w:rsidRPr="00BF20DA" w14:paraId="6D154A80" w14:textId="77777777" w:rsidTr="001B2429">
        <w:trPr>
          <w:cantSplit/>
        </w:trPr>
        <w:tc>
          <w:tcPr>
            <w:tcW w:w="5215" w:type="dxa"/>
            <w:vAlign w:val="center"/>
          </w:tcPr>
          <w:p w14:paraId="35EAC1EF" w14:textId="77777777" w:rsidR="00246DB4" w:rsidRDefault="00246DB4" w:rsidP="00246DB4">
            <w:pPr>
              <w:spacing w:afterLines="0" w:after="0"/>
              <w:rPr>
                <w:rFonts w:cs="Times New Roman"/>
                <w:sz w:val="20"/>
                <w:szCs w:val="20"/>
              </w:rPr>
            </w:pPr>
          </w:p>
          <w:p w14:paraId="0A1EBEFA" w14:textId="77777777" w:rsidR="00246DB4" w:rsidRDefault="00CF4167" w:rsidP="00246DB4">
            <w:pPr>
              <w:spacing w:afterLines="0" w:after="0"/>
              <w:rPr>
                <w:rFonts w:ascii="Times New Roman" w:hAnsi="Times New Roman" w:cs="Times New Roman"/>
                <w:sz w:val="20"/>
                <w:szCs w:val="20"/>
              </w:rPr>
            </w:pPr>
            <w:r>
              <w:rPr>
                <w:rFonts w:cs="Times New Roman"/>
                <w:sz w:val="20"/>
                <w:szCs w:val="20"/>
              </w:rPr>
              <w:t>Liyuan Yao</w:t>
            </w:r>
            <w:r w:rsidR="00246DB4" w:rsidRPr="0037460B">
              <w:rPr>
                <w:rFonts w:ascii="Times New Roman" w:hAnsi="Times New Roman" w:cs="Times New Roman"/>
                <w:sz w:val="20"/>
                <w:szCs w:val="20"/>
              </w:rPr>
              <w:t xml:space="preserve"> (“Client”)</w:t>
            </w:r>
          </w:p>
          <w:p w14:paraId="5891256E" w14:textId="77777777" w:rsidR="00246DB4" w:rsidRDefault="00246DB4" w:rsidP="00246DB4">
            <w:pPr>
              <w:spacing w:afterLines="0" w:after="0"/>
              <w:rPr>
                <w:rFonts w:ascii="Times New Roman" w:hAnsi="Times New Roman" w:cs="Times New Roman"/>
                <w:sz w:val="20"/>
                <w:szCs w:val="20"/>
              </w:rPr>
            </w:pPr>
          </w:p>
          <w:p w14:paraId="5355D808"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F25F5A5" w14:textId="16AE4070"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66C7993" w14:textId="77777777" w:rsidR="00246DB4" w:rsidRDefault="00246DB4" w:rsidP="00246DB4">
            <w:pPr>
              <w:spacing w:afterLines="0" w:after="0"/>
              <w:rPr>
                <w:rFonts w:ascii="Times New Roman" w:hAnsi="Times New Roman" w:cs="Times New Roman"/>
                <w:sz w:val="20"/>
                <w:szCs w:val="20"/>
              </w:rPr>
            </w:pPr>
          </w:p>
          <w:p w14:paraId="37E1D0D5" w14:textId="5A80BBF1"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3AEDEA6E" w14:textId="77777777" w:rsidTr="001B2429">
        <w:trPr>
          <w:cantSplit/>
        </w:trPr>
        <w:tc>
          <w:tcPr>
            <w:tcW w:w="5215" w:type="dxa"/>
            <w:vAlign w:val="center"/>
          </w:tcPr>
          <w:p w14:paraId="64D8098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Villa Cornet Condominium Owners Association ("HOA")</w:t>
            </w:r>
          </w:p>
        </w:tc>
        <w:tc>
          <w:tcPr>
            <w:tcW w:w="5490" w:type="dxa"/>
            <w:vAlign w:val="center"/>
          </w:tcPr>
          <w:p w14:paraId="4EF1A78D" w14:textId="77777777" w:rsidR="001B2429" w:rsidRPr="00BF20DA" w:rsidRDefault="001B2429" w:rsidP="009855CA">
            <w:pPr>
              <w:spacing w:afterLines="0" w:after="0"/>
              <w:rPr>
                <w:rFonts w:ascii="Times New Roman" w:hAnsi="Times New Roman" w:cs="Times New Roman"/>
                <w:sz w:val="20"/>
                <w:szCs w:val="20"/>
              </w:rPr>
            </w:pPr>
          </w:p>
          <w:p w14:paraId="27B5B89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Defendant</w:t>
            </w:r>
          </w:p>
          <w:p w14:paraId="0176858C"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6D183C0" w14:textId="77777777" w:rsidTr="001B2429">
        <w:trPr>
          <w:cantSplit/>
        </w:trPr>
        <w:tc>
          <w:tcPr>
            <w:tcW w:w="5215" w:type="dxa"/>
            <w:vAlign w:val="center"/>
          </w:tcPr>
          <w:p w14:paraId="54475BFF"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Diana Johnson ("Johnson")</w:t>
            </w:r>
          </w:p>
        </w:tc>
        <w:tc>
          <w:tcPr>
            <w:tcW w:w="5490" w:type="dxa"/>
            <w:vAlign w:val="center"/>
          </w:tcPr>
          <w:p w14:paraId="50A1295E" w14:textId="77777777" w:rsidR="001B2429" w:rsidRPr="00BF20DA" w:rsidRDefault="001B2429" w:rsidP="009855CA">
            <w:pPr>
              <w:spacing w:afterLines="0" w:after="0"/>
              <w:rPr>
                <w:rFonts w:ascii="Times New Roman" w:hAnsi="Times New Roman" w:cs="Times New Roman"/>
                <w:sz w:val="20"/>
                <w:szCs w:val="20"/>
              </w:rPr>
            </w:pPr>
          </w:p>
          <w:p w14:paraId="51BCCBE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Former property manager</w:t>
            </w:r>
          </w:p>
          <w:p w14:paraId="52E7EF3B"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5D3EFD76" w14:textId="77777777" w:rsidTr="001B2429">
        <w:trPr>
          <w:cantSplit/>
        </w:trPr>
        <w:tc>
          <w:tcPr>
            <w:tcW w:w="5215" w:type="dxa"/>
            <w:vAlign w:val="center"/>
          </w:tcPr>
          <w:p w14:paraId="4EB8240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Community Management Services, Inc. ("CMS")</w:t>
            </w:r>
          </w:p>
        </w:tc>
        <w:tc>
          <w:tcPr>
            <w:tcW w:w="5490" w:type="dxa"/>
            <w:vAlign w:val="center"/>
          </w:tcPr>
          <w:p w14:paraId="094A309B" w14:textId="77777777" w:rsidR="001B2429" w:rsidRPr="00BF20DA" w:rsidRDefault="001B2429" w:rsidP="009855CA">
            <w:pPr>
              <w:spacing w:afterLines="0" w:after="0"/>
              <w:rPr>
                <w:rFonts w:ascii="Times New Roman" w:hAnsi="Times New Roman" w:cs="Times New Roman"/>
                <w:sz w:val="20"/>
                <w:szCs w:val="20"/>
              </w:rPr>
            </w:pPr>
          </w:p>
          <w:p w14:paraId="7E374F8B"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Former property management company</w:t>
            </w:r>
          </w:p>
          <w:p w14:paraId="2AF39244"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A498E95" w14:textId="77777777" w:rsidTr="001B2429">
        <w:trPr>
          <w:cantSplit/>
        </w:trPr>
        <w:tc>
          <w:tcPr>
            <w:tcW w:w="5215" w:type="dxa"/>
            <w:vAlign w:val="center"/>
          </w:tcPr>
          <w:p w14:paraId="548E920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Professional Association Services, Inc ("PAS")</w:t>
            </w:r>
          </w:p>
        </w:tc>
        <w:tc>
          <w:tcPr>
            <w:tcW w:w="5490" w:type="dxa"/>
            <w:vAlign w:val="center"/>
          </w:tcPr>
          <w:p w14:paraId="7C83E6AF" w14:textId="77777777" w:rsidR="001B2429" w:rsidRPr="00BF20DA" w:rsidRDefault="001B2429" w:rsidP="009855CA">
            <w:pPr>
              <w:spacing w:afterLines="0" w:after="0"/>
              <w:rPr>
                <w:rFonts w:ascii="Times New Roman" w:hAnsi="Times New Roman" w:cs="Times New Roman"/>
                <w:sz w:val="20"/>
                <w:szCs w:val="20"/>
              </w:rPr>
            </w:pPr>
          </w:p>
          <w:p w14:paraId="6B35BBD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Current property management company</w:t>
            </w:r>
          </w:p>
          <w:p w14:paraId="0774E388"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20136C0" w14:textId="77777777" w:rsidTr="001B2429">
        <w:trPr>
          <w:cantSplit/>
        </w:trPr>
        <w:tc>
          <w:tcPr>
            <w:tcW w:w="5215" w:type="dxa"/>
            <w:vAlign w:val="center"/>
          </w:tcPr>
          <w:p w14:paraId="62EFAA1E" w14:textId="77777777" w:rsidR="001B2429" w:rsidRPr="00BF20DA" w:rsidRDefault="001B2429" w:rsidP="009855CA">
            <w:pPr>
              <w:spacing w:afterLines="0" w:after="0"/>
              <w:rPr>
                <w:rFonts w:ascii="Times New Roman" w:hAnsi="Times New Roman" w:cs="Times New Roman"/>
                <w:sz w:val="20"/>
                <w:szCs w:val="20"/>
              </w:rPr>
            </w:pPr>
          </w:p>
          <w:p w14:paraId="1F5E1F63"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GB Construction, Inc ("GB")</w:t>
            </w:r>
          </w:p>
        </w:tc>
        <w:tc>
          <w:tcPr>
            <w:tcW w:w="5490" w:type="dxa"/>
            <w:vAlign w:val="center"/>
          </w:tcPr>
          <w:p w14:paraId="78E6CE50" w14:textId="77777777" w:rsidR="001B2429" w:rsidRPr="00BF20DA" w:rsidRDefault="001B2429" w:rsidP="009855CA">
            <w:pPr>
              <w:spacing w:afterLines="0" w:after="0"/>
              <w:rPr>
                <w:rFonts w:ascii="Times New Roman" w:hAnsi="Times New Roman" w:cs="Times New Roman"/>
                <w:sz w:val="20"/>
                <w:szCs w:val="20"/>
              </w:rPr>
            </w:pPr>
          </w:p>
          <w:p w14:paraId="4985B97D"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HOA vendor</w:t>
            </w:r>
          </w:p>
          <w:p w14:paraId="2A29D5F1" w14:textId="77777777" w:rsidR="001B2429" w:rsidRPr="00BF20DA" w:rsidRDefault="001B2429" w:rsidP="009855CA">
            <w:pPr>
              <w:spacing w:afterLines="0" w:after="0"/>
              <w:rPr>
                <w:rFonts w:ascii="Times New Roman" w:hAnsi="Times New Roman" w:cs="Times New Roman"/>
                <w:sz w:val="20"/>
                <w:szCs w:val="20"/>
              </w:rPr>
            </w:pPr>
          </w:p>
        </w:tc>
      </w:tr>
    </w:tbl>
    <w:p w14:paraId="6854B648" w14:textId="77777777" w:rsidR="00246DB4" w:rsidRDefault="00246DB4" w:rsidP="00036B28">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F8AE3D6" w14:textId="77777777" w:rsidR="00745226" w:rsidRDefault="007B2701" w:rsidP="00EA2883">
      <w:pPr>
        <w:pStyle w:val="Heading2"/>
      </w:pPr>
      <w:r w:rsidRPr="00020852">
        <w:fldChar w:fldCharType="begin"/>
      </w:r>
      <w:r w:rsidRPr="00020852">
        <w:instrText xml:space="preserve"> LISTNUM LegalDefault \l 2 </w:instrText>
      </w:r>
      <w:bookmarkStart w:id="48" w:name="_Toc130368716"/>
      <w:r w:rsidRPr="00020852">
        <w:fldChar w:fldCharType="end"/>
      </w:r>
      <w:r w:rsidR="00CA5593">
        <w:br/>
      </w:r>
      <w:r w:rsidRPr="00020852">
        <w:t>Negligent Misrepresentation</w:t>
      </w:r>
      <w:bookmarkEnd w:id="48"/>
    </w:p>
    <w:p w14:paraId="3D929B7A" w14:textId="79F270D3"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—Negligent Misrepresentation</w:t>
      </w:r>
    </w:p>
    <w:p w14:paraId="4DD6851E"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a claim for </w:t>
      </w:r>
      <w:r w:rsidRPr="00020852">
        <w:rPr>
          <w:rFonts w:cs="Times New Roman"/>
          <w:bCs/>
          <w:i/>
          <w:iCs/>
          <w:szCs w:val="24"/>
        </w:rPr>
        <w:t>negligent</w:t>
      </w:r>
      <w:r w:rsidRPr="00020852">
        <w:rPr>
          <w:rFonts w:cs="Times New Roman"/>
          <w:bCs/>
          <w:szCs w:val="24"/>
        </w:rPr>
        <w:t xml:space="preserve"> misrepresentation are nearly identical to those required to allege intentional misrepresentation (or fraud), except that the second element requires the absence of reasonable grounds for believing the misrepresentation to be true instead of knowledge of its falsity. The elements, therefore, are: (i) a misrepresentation; (ii) made with no reasonable basis to believe the representation is true;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Bock v. Hansen</w:t>
      </w:r>
      <w:r w:rsidRPr="00020852">
        <w:rPr>
          <w:rFonts w:cs="Times New Roman"/>
          <w:bCs/>
          <w:szCs w:val="24"/>
        </w:rPr>
        <w:t xml:space="preserve"> (2014) 225 Cal.App.4th 215, 231.)</w:t>
      </w:r>
    </w:p>
    <w:p w14:paraId="3DBDB6F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98B116" w14:textId="77777777" w:rsidR="00745226" w:rsidRDefault="007B2701" w:rsidP="007B2701">
      <w:pPr>
        <w:spacing w:after="264"/>
        <w:ind w:left="1080" w:hanging="360"/>
        <w:rPr>
          <w:rFonts w:cs="Times New Roman"/>
          <w:bCs/>
          <w:szCs w:val="24"/>
        </w:rPr>
      </w:pPr>
      <w:r w:rsidRPr="00020852">
        <w:rPr>
          <w:rFonts w:cs="Times New Roman"/>
          <w:bCs/>
          <w:szCs w:val="24"/>
        </w:rPr>
        <w:t>—  For compensatory (money) damages, defrauded plaintiffs are generally limited to the “out-of-pocket” measure of damages, which seeks to restore plaintiffs to the financial position they were in before the fraud occurred. Plaintiffs receive the difference in value between what they gave to defendant and what they received in return, plus consequential pecuniary loss caused by reliance on misrepresentation. (</w:t>
      </w:r>
      <w:r w:rsidRPr="00020852">
        <w:rPr>
          <w:rFonts w:cs="Times New Roman"/>
          <w:bCs/>
          <w:i/>
          <w:iCs/>
          <w:szCs w:val="24"/>
        </w:rPr>
        <w:t>Alliance Mortg. Co. v. Rothwell</w:t>
      </w:r>
      <w:r w:rsidRPr="00020852">
        <w:rPr>
          <w:rFonts w:cs="Times New Roman"/>
          <w:bCs/>
          <w:szCs w:val="24"/>
        </w:rPr>
        <w:t xml:space="preserve"> (1995) 10 Cal.4th 1226.)</w:t>
      </w:r>
    </w:p>
    <w:p w14:paraId="1EC801B2" w14:textId="77777777" w:rsidR="00745226" w:rsidRDefault="007B2701" w:rsidP="007B2701">
      <w:pPr>
        <w:spacing w:after="264"/>
        <w:ind w:left="1080" w:hanging="360"/>
        <w:rPr>
          <w:rFonts w:cs="Times New Roman"/>
          <w:bCs/>
          <w:szCs w:val="24"/>
        </w:rPr>
      </w:pPr>
      <w:r w:rsidRPr="00020852">
        <w:rPr>
          <w:rFonts w:cs="Times New Roman"/>
          <w:bCs/>
          <w:szCs w:val="24"/>
        </w:rPr>
        <w:t>—  For misrepresentations involving the purchase and sale of real property, damages are governed by Civil Code section 3343. The defrauded party is entitled to recover the difference between the actual value given and the actual value of what they received, together with any additional damage arising from the particular transaction, including: (i) amounts actually and reasonably expended in reliance upon the fraud; (ii) amounts for loss of use and enjoyment of the property proximately caused by the fraud; and (iii) in the case of a party induced to sell income property, profits or other gains that might reasonably have been earned by use of the property had the person retained it. (Civ. Code, § 3343(a).) Additional damage calculations apply if the defrauded party was induced to purchase income property. (</w:t>
      </w:r>
      <w:r w:rsidRPr="00020852">
        <w:rPr>
          <w:rFonts w:cs="Times New Roman"/>
          <w:bCs/>
          <w:i/>
          <w:szCs w:val="24"/>
        </w:rPr>
        <w:t>Ibid</w:t>
      </w:r>
      <w:r w:rsidRPr="00020852">
        <w:rPr>
          <w:rFonts w:cs="Times New Roman"/>
          <w:bCs/>
          <w:i/>
          <w:iCs/>
          <w:szCs w:val="24"/>
        </w:rPr>
        <w:t>.</w:t>
      </w:r>
      <w:r w:rsidRPr="00020852">
        <w:rPr>
          <w:rFonts w:cs="Times New Roman"/>
          <w:bCs/>
          <w:szCs w:val="24"/>
        </w:rPr>
        <w:t xml:space="preserve">) Damages are </w:t>
      </w:r>
      <w:r w:rsidRPr="00020852">
        <w:rPr>
          <w:rFonts w:cs="Times New Roman"/>
          <w:bCs/>
          <w:i/>
          <w:iCs/>
          <w:szCs w:val="24"/>
          <w:u w:val="single"/>
        </w:rPr>
        <w:t>not</w:t>
      </w:r>
      <w:r w:rsidRPr="00020852">
        <w:rPr>
          <w:rFonts w:cs="Times New Roman"/>
          <w:bCs/>
          <w:szCs w:val="24"/>
        </w:rPr>
        <w:t xml:space="preserve"> calculated as the difference between what was represented and what the property is actually worth. (Civ. Code, § 3343(b).)</w:t>
      </w:r>
    </w:p>
    <w:p w14:paraId="641257FD"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Punitive damages and emotional distress damages are not available in the absence of physical injury. (</w:t>
      </w:r>
      <w:r w:rsidRPr="00020852">
        <w:rPr>
          <w:rFonts w:cs="Times New Roman"/>
          <w:bCs/>
          <w:i/>
          <w:iCs/>
          <w:szCs w:val="24"/>
        </w:rPr>
        <w:t xml:space="preserve">Butler-Rupp v. </w:t>
      </w:r>
      <w:proofErr w:type="spellStart"/>
      <w:r w:rsidRPr="00020852">
        <w:rPr>
          <w:rFonts w:cs="Times New Roman"/>
          <w:bCs/>
          <w:i/>
          <w:iCs/>
          <w:szCs w:val="24"/>
        </w:rPr>
        <w:t>Lourdeaux</w:t>
      </w:r>
      <w:proofErr w:type="spellEnd"/>
      <w:r w:rsidRPr="00020852">
        <w:rPr>
          <w:rFonts w:cs="Times New Roman"/>
          <w:bCs/>
          <w:szCs w:val="24"/>
        </w:rPr>
        <w:t xml:space="preserve"> (2005) 134 Cal.App.4th 1220, 1227;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Cal.App.793, 799-800.)</w:t>
      </w:r>
    </w:p>
    <w:p w14:paraId="0E52993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DCACE1F"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EEFDAA2" w14:textId="77777777" w:rsidR="00745226" w:rsidRDefault="007B2701" w:rsidP="007B2701">
      <w:pPr>
        <w:spacing w:after="264"/>
        <w:ind w:left="1080" w:hanging="360"/>
        <w:rPr>
          <w:rFonts w:cs="Times New Roman"/>
          <w:bCs/>
          <w:szCs w:val="24"/>
        </w:rPr>
      </w:pPr>
      <w:r w:rsidRPr="00020852">
        <w:rPr>
          <w:rFonts w:cs="Times New Roman"/>
          <w:bCs/>
          <w:szCs w:val="24"/>
        </w:rPr>
        <w:t>—  Three years. (Code Civ. Proc., § 338(d).)</w:t>
      </w:r>
    </w:p>
    <w:p w14:paraId="0EDEBF85" w14:textId="0202836B"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6E8514E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negligent misrepresentation</w:t>
      </w:r>
      <w:r w:rsidRPr="00020852">
        <w:rPr>
          <w:rFonts w:cs="Times New Roman"/>
          <w:bCs/>
          <w:szCs w:val="24"/>
          <w:highlight w:val="green"/>
        </w:rPr>
        <w:t>. If one or more provisions of the CC&amp;Rs is/are relevant, you should cite to that/those provision(s) here (no need to quote or provide a snip).</w:t>
      </w:r>
    </w:p>
    <w:p w14:paraId="042E763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5811553D"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138BD815" w14:textId="0537B10D"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0A921BDF"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22202FEA"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October 31, 2026</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7BDB493A" w14:textId="70849805" w:rsidR="00745226" w:rsidRDefault="00CF4167" w:rsidP="00C53B37">
      <w:pPr>
        <w:spacing w:after="264"/>
        <w:rPr>
          <w:rFonts w:cs="Times New Roman"/>
          <w:bCs/>
          <w:szCs w:val="24"/>
        </w:rPr>
      </w:pPr>
      <w:r>
        <w:rPr>
          <w:rFonts w:cs="Times New Roman"/>
          <w:bCs/>
          <w:szCs w:val="24"/>
        </w:rPr>
        <w:t>Article 11, Section 11.28.5</w:t>
      </w:r>
      <w:r w:rsidR="00C53B37" w:rsidRPr="00020852">
        <w:rPr>
          <w:rFonts w:cs="Times New Roman"/>
          <w:bCs/>
          <w:szCs w:val="24"/>
        </w:rPr>
        <w:t xml:space="preserve"> </w:t>
      </w:r>
      <w:bookmarkStart w:id="193" w:name="_Hlk41900326"/>
      <w:r w:rsidR="00C53B37" w:rsidRPr="00020852">
        <w:rPr>
          <w:rFonts w:cs="Times New Roman"/>
          <w:bCs/>
          <w:szCs w:val="24"/>
        </w:rPr>
        <w:t xml:space="preserve">of the CC&amp;Rs contains </w:t>
      </w:r>
      <w:bookmarkStart w:id="194" w:name="_Hlk53660807"/>
      <w:r w:rsidR="00C53B37" w:rsidRPr="00020852">
        <w:rPr>
          <w:rFonts w:cs="Times New Roman"/>
          <w:bCs/>
          <w:szCs w:val="24"/>
        </w:rPr>
        <w:t xml:space="preserve">a binding arbitration provision. </w:t>
      </w:r>
      <w:r w:rsidR="00CD357D" w:rsidRPr="00020852">
        <w:rPr>
          <w:rFonts w:cs="Times New Roman"/>
          <w:bCs/>
          <w:szCs w:val="24"/>
        </w:rPr>
        <w:t xml:space="preserve">Consequently, </w:t>
      </w:r>
      <w:r w:rsidR="00EB2969" w:rsidRPr="00020852">
        <w:rPr>
          <w:rFonts w:cs="Times New Roman"/>
          <w:bCs/>
          <w:szCs w:val="24"/>
        </w:rPr>
        <w:t>legal action</w:t>
      </w:r>
      <w:r w:rsidR="00CD357D" w:rsidRPr="00020852">
        <w:rPr>
          <w:rFonts w:cs="Times New Roman"/>
          <w:bCs/>
          <w:szCs w:val="24"/>
        </w:rPr>
        <w:t xml:space="preserve"> related to the issues in dispute must be </w:t>
      </w:r>
      <w:r w:rsidR="00EB2969" w:rsidRPr="00020852">
        <w:rPr>
          <w:rFonts w:cs="Times New Roman"/>
          <w:bCs/>
          <w:szCs w:val="24"/>
        </w:rPr>
        <w:t>litigated</w:t>
      </w:r>
      <w:r w:rsidR="00CD357D" w:rsidRPr="00020852">
        <w:rPr>
          <w:rFonts w:cs="Times New Roman"/>
          <w:bCs/>
          <w:szCs w:val="24"/>
        </w:rPr>
        <w:t xml:space="preserve"> </w:t>
      </w:r>
      <w:r w:rsidR="00EB2969" w:rsidRPr="00020852">
        <w:rPr>
          <w:rFonts w:cs="Times New Roman"/>
          <w:bCs/>
          <w:szCs w:val="24"/>
        </w:rPr>
        <w:t>in the manner</w:t>
      </w:r>
      <w:r w:rsidR="00CD357D" w:rsidRPr="00020852">
        <w:rPr>
          <w:rFonts w:cs="Times New Roman"/>
          <w:bCs/>
          <w:szCs w:val="24"/>
        </w:rPr>
        <w:t xml:space="preserve"> </w:t>
      </w:r>
      <w:r w:rsidR="00C53B37" w:rsidRPr="00020852">
        <w:rPr>
          <w:rFonts w:cs="Times New Roman"/>
          <w:bCs/>
          <w:szCs w:val="24"/>
        </w:rPr>
        <w:t xml:space="preserve">directed by that provision </w:t>
      </w:r>
      <w:bookmarkEnd w:id="194"/>
      <w:r w:rsidR="00C53B37" w:rsidRPr="00020852">
        <w:rPr>
          <w:rFonts w:cs="Times New Roman"/>
          <w:bCs/>
          <w:szCs w:val="24"/>
        </w:rPr>
        <w:t>of the CC&amp;Rs</w:t>
      </w:r>
      <w:r w:rsidR="001A6D43" w:rsidRPr="00020852">
        <w:rPr>
          <w:rFonts w:cs="Times New Roman"/>
          <w:bCs/>
          <w:szCs w:val="24"/>
        </w:rPr>
        <w:t xml:space="preserve">, and may be compelled or confirmed in the superior court of </w:t>
      </w:r>
      <w:r>
        <w:rPr>
          <w:rFonts w:cs="Times New Roman"/>
          <w:szCs w:val="24"/>
        </w:rPr>
        <w:t>Santa Clara</w:t>
      </w:r>
      <w:r w:rsidR="001A6D43" w:rsidRPr="00020852">
        <w:rPr>
          <w:rFonts w:cs="Times New Roman"/>
          <w:bCs/>
          <w:szCs w:val="24"/>
        </w:rPr>
        <w:t xml:space="preserve"> County (where the property at issue is located)</w:t>
      </w:r>
      <w:r w:rsidR="00C53B37" w:rsidRPr="00020852">
        <w:rPr>
          <w:rFonts w:cs="Times New Roman"/>
          <w:bCs/>
          <w:szCs w:val="24"/>
        </w:rPr>
        <w:t>.</w:t>
      </w:r>
      <w:bookmarkEnd w:id="193"/>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ACA7461" w14:textId="3F0D3E14" w:rsidR="00745226" w:rsidRDefault="001A6D43" w:rsidP="00C53B37">
      <w:pPr>
        <w:spacing w:after="264"/>
        <w:rPr>
          <w:rFonts w:cs="Times New Roman"/>
        </w:rPr>
      </w:pPr>
      <w:r w:rsidRPr="00020852">
        <w:rPr>
          <w:rFonts w:cs="Times New Roman"/>
        </w:rPr>
        <w:t xml:space="preserve">The parties to the CC&amp;Rs agreed to submit all disputes to binding arbitration (as discussed above) in </w:t>
      </w:r>
      <w:r>
        <w:rPr>
          <w:rFonts w:cs="Times New Roman"/>
          <w:szCs w:val="24"/>
        </w:rPr>
        <w:t>Santa Clara</w:t>
      </w:r>
      <w:r w:rsidRPr="00020852">
        <w:rPr>
          <w:rFonts w:cs="Times New Roman"/>
        </w:rPr>
        <w:t xml:space="preserve"> County</w:t>
      </w:r>
      <w:bookmarkStart w:id="198" w:name="_Hlk53661901"/>
      <w:r w:rsidRPr="00020852">
        <w:rPr>
          <w:rFonts w:cs="Times New Roman"/>
        </w:rPr>
        <w:t>.</w:t>
      </w:r>
      <w:bookmarkEnd w:id="198"/>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9CADF2A" w14:textId="77777777" w:rsidR="00A35502" w:rsidRDefault="00A35502" w:rsidP="00A35502">
      <w:pPr>
        <w:spacing w:after="264"/>
        <w:rPr>
          <w:rFonts w:cs="Times New Roman"/>
        </w:rPr>
      </w:pPr>
      <w:r w:rsidRPr="00020852">
        <w:rPr>
          <w:rFonts w:cs="Times New Roman"/>
        </w:rPr>
        <w:t xml:space="preserve">Given the facts of this dispute, the Davis-Stirling Act does </w:t>
      </w:r>
      <w:r w:rsidRPr="002E717C">
        <w:rPr>
          <w:rFonts w:cs="Times New Roman"/>
          <w:i/>
          <w:iCs/>
        </w:rPr>
        <w:t>not</w:t>
      </w:r>
      <w:r w:rsidRPr="00020852">
        <w:rPr>
          <w:rFonts w:cs="Times New Roman"/>
        </w:rPr>
        <w:t xml:space="preserve"> require pre-lawsuit ADR.</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Article 11, Section 11.14</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None at this time.</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Yao v. Villa Cornet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