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85B3F" w:rsidP="005C2B5C">
      <w:pPr>
        <w:spacing w:after="264"/>
        <w:jc w:val="center"/>
        <w:rPr>
          <w:rFonts w:cs="Times New Roman"/>
          <w:b/>
          <w:bCs/>
          <w:sz w:val="44"/>
          <w:szCs w:val="44"/>
        </w:rPr>
      </w:pPr>
      <w:r>
        <w:rPr>
          <w:rFonts w:cs="Times New Roman"/>
          <w:b/>
          <w:bCs/>
          <w:sz w:val="44"/>
          <w:szCs w:val="44"/>
        </w:rPr>
        <w:t>Contreras v. The Waterford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r>
        <w:rPr>
          <w:rFonts w:cs="Times New Roman"/>
          <w:sz w:val="28"/>
          <w:szCs w:val="28"/>
        </w:rPr>
        <w:t>SS</w:t>
      </w:r>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85B3F" w:rsidP="00ED2D7D">
      <w:pPr>
        <w:spacing w:after="264"/>
        <w:rPr>
          <w:rFonts w:cs="Times New Roman"/>
          <w:szCs w:val="24"/>
        </w:rPr>
      </w:pPr>
      <w:r>
        <w:rPr>
          <w:rFonts w:cs="Times New Roman"/>
          <w:szCs w:val="24"/>
        </w:rPr>
        <w:t>Client Rafael Contreras (the "Client") owns the real property located at 6154 Honeysuckle Dr., Newark, CA 94560 (the "Property"), situated with the Waterford Association (the "HOA"). He used to serve as the president of the HOA. In 2022, a water intrusion occurred from his neighboring unit, causing water damage to his Property. Client received double recovery from both his own insurance company and the HOA’s insurance company. In 2024, Client didn’t run the election and the HOA has a new president. The HOA is going after Client to return the $29k he received, as well as a special assessment of $45k legal fee and administrative fee.</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85B3F" w:rsidP="0054507B">
            <w:pPr>
              <w:spacing w:afterLines="0" w:after="0"/>
              <w:rPr>
                <w:rFonts w:cs="Times New Roman"/>
                <w:sz w:val="20"/>
                <w:szCs w:val="20"/>
              </w:rPr>
            </w:pPr>
            <w:r>
              <w:rPr>
                <w:rFonts w:cs="Times New Roman"/>
                <w:sz w:val="20"/>
                <w:szCs w:val="20"/>
              </w:rPr>
              <w:t>Rafael Contreras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85B3F" w:rsidP="0054507B">
            <w:pPr>
              <w:spacing w:afterLines="0" w:after="0"/>
              <w:rPr>
                <w:rFonts w:cs="Times New Roman"/>
                <w:sz w:val="20"/>
                <w:szCs w:val="20"/>
              </w:rPr>
            </w:pPr>
            <w:r>
              <w:rPr>
                <w:rFonts w:cs="Times New Roman"/>
                <w:sz w:val="20"/>
                <w:szCs w:val="20"/>
              </w:rPr>
              <w:t>The Waterford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85B3F" w:rsidP="0054507B">
            <w:pPr>
              <w:spacing w:afterLines="0" w:after="0"/>
              <w:rPr>
                <w:rFonts w:cs="Times New Roman"/>
                <w:sz w:val="20"/>
                <w:szCs w:val="20"/>
              </w:rPr>
            </w:pPr>
            <w:r>
              <w:rPr>
                <w:rFonts w:cs="Times New Roman"/>
                <w:sz w:val="20"/>
                <w:szCs w:val="20"/>
              </w:rPr>
              <w:t>The 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185B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III, Section 3.17</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r>
            <w:rPr>
              <w:rFonts w:cs="Times New Roman"/>
              <w:sz w:val="18"/>
              <w:szCs w:val="18"/>
            </w:rPr>
            <w:t>Contreras v. The Waterford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